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bookmarkStart w:id="3" w:name="_GoBack"/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04</w:t>
      </w:r>
      <w:r>
        <w:rPr>
          <w:rFonts w:hint="eastAsia" w:ascii="黑体" w:hAnsi="黑体" w:eastAsia="黑体"/>
          <w:b/>
          <w:bCs/>
          <w:kern w:val="0"/>
          <w:szCs w:val="32"/>
        </w:rPr>
        <w:t>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高导热型电工绝缘材料的研制</w:t>
      </w:r>
    </w:p>
    <w:bookmarkEnd w:id="3"/>
    <w:tbl>
      <w:tblPr>
        <w:tblStyle w:val="16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西安环聚阻燃科技有限公司</w:t>
            </w:r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91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科学研究和技术服务业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8961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新材料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26920D9F">
            <w:pPr>
              <w:pStyle w:val="25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研制一类高导热型填料，用于电工浇筑领域，解决现有绝缘材料导热性能不足的问题。该填料需在不影响现有浇注工艺的前提下，显著提升复合材料的导热系数，确保电气设备在长期高负荷运行时的散热效率，降低热老化风险，延长设备使用寿命。</w:t>
            </w:r>
          </w:p>
          <w:p w14:paraId="02AA09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52A2D0AA">
            <w:pPr>
              <w:pStyle w:val="25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随着电力设备向高电压、大容量、紧凑化方向发展，传统环氧树脂基绝缘材料的导热性能（通常&lt;0.5 W/(m·K)）已难以满足散热需求。该技术主要应用于：</w:t>
            </w:r>
          </w:p>
          <w:p w14:paraId="2D871015">
            <w:pPr>
              <w:pStyle w:val="25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（1）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输变电绝缘材料（如GIS绝缘件、电缆终端等），降低局部过热风险；</w:t>
            </w:r>
          </w:p>
          <w:p w14:paraId="601C6487">
            <w:pPr>
              <w:pStyle w:val="25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（2）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干式变压器，提高散热能力，减少温升对绝缘寿命的影响；</w:t>
            </w:r>
          </w:p>
          <w:p w14:paraId="24161EBE">
            <w:pPr>
              <w:pStyle w:val="25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（3）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电抗器及电力电子设备，避免因热量积聚导致的性能劣化。</w:t>
            </w:r>
          </w:p>
          <w:p w14:paraId="761EB3A1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技术难点</w:t>
            </w:r>
          </w:p>
          <w:p w14:paraId="52104DA1">
            <w:pPr>
              <w:pStyle w:val="25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（1）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导热填料与树脂的相容性：需确保填料均匀分散，避免团聚导致浇注缺陷；</w:t>
            </w:r>
          </w:p>
          <w:p w14:paraId="6E283285">
            <w:pPr>
              <w:pStyle w:val="25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（2）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工艺适应性：填料加入后不得显著增加体系黏度（&lt;1000cp@60℃），否则影响浇注流动性和脱泡性能；</w:t>
            </w:r>
          </w:p>
          <w:p w14:paraId="25AC7461">
            <w:pPr>
              <w:pStyle w:val="25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（3）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电气性能平衡：高导热填料（如金属氧化物、氮化物）可能降低绝缘强度，需优化填料种类及表面处理工艺。</w:t>
            </w:r>
          </w:p>
          <w:p w14:paraId="1212EB24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23F841FB">
            <w:pPr>
              <w:pStyle w:val="25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（1）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导热系数：复合材料≥3.0 W/(m·K)（稳态热板法测试）；</w:t>
            </w:r>
          </w:p>
          <w:p w14:paraId="62137BDB">
            <w:pPr>
              <w:pStyle w:val="25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（2）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成本控制：填料原料成本≤1.5万元/吨，确保产业化经济性；</w:t>
            </w:r>
          </w:p>
          <w:p w14:paraId="3DD446A7">
            <w:pPr>
              <w:pStyle w:val="25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（3）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工艺性能：填料添加后混合黏度≤1000cp（60℃旋转黏度计测试），固化放热峰可控；</w:t>
            </w:r>
          </w:p>
          <w:p w14:paraId="0DB8807B">
            <w:pPr>
              <w:pStyle w:val="25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（4）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可靠性：通过1000次热循环（-40℃~120℃）后导热系数衰减率&lt;10%，且体积电阻率≥1×10¹⁴ Ω·cm。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BB7730">
            <w:pPr>
              <w:pStyle w:val="25"/>
              <w:spacing w:line="360" w:lineRule="exact"/>
              <w:ind w:left="0" w:leftChars="0" w:firstLine="0" w:firstLineChars="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企业拥有导热性能测试设备，无相关技术积累。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13D5C">
            <w:pPr>
              <w:pStyle w:val="2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1.专家资质要求：本项目对专家的职称、学历等无硬性要求，重点考察实际研发能力和产业化经验。希望专家具备高分子材料、阻燃技术或电工绝缘材料领域的研发背景，并具有成功开发可量产产品的经验。团队欢迎来自高校、科研院所或企业的技术专家，只要其技术方案可行，并能推动产品实际应用即可。</w:t>
            </w:r>
          </w:p>
          <w:p w14:paraId="709D06F8">
            <w:pPr>
              <w:pStyle w:val="2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2.合作模式灵活：可采用技术转让或委托开发的方式推进合作。若专家已有成熟技术，可协商技术转让或专利授权；若需进一步优化，可采用委托开发模式，由我方提供研发经费，专家团队负责关键技术攻关。合作过程中可共同申请知识产权，共享产业化收益。</w:t>
            </w:r>
          </w:p>
          <w:p w14:paraId="7FB99DAB">
            <w:pPr>
              <w:pStyle w:val="2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3.市场推广支持：希望专家不仅参与技术研发，还能协助市场开拓，包括客户需求对接、产品应用测试及技术推广。由于电工浇筑材料的下游客户（如变压器、电抗器制造商）对材料性能要求严格，专家需配合提供技术支持，如产品性能优化建议、现场工艺指导等，以加速市场导入和客户认可。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□共建新研发、生产实体</w:t>
            </w:r>
          </w:p>
        </w:tc>
      </w:tr>
      <w:bookmarkEnd w:id="1"/>
      <w:bookmarkEnd w:id="2"/>
    </w:tbl>
    <w:p w14:paraId="1C44BA4E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1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1760AF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582968"/>
    <w:rsid w:val="3A7D7406"/>
    <w:rsid w:val="3AC004AF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420AB3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394BE4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7">
    <w:name w:val="annotation text"/>
    <w:basedOn w:val="1"/>
    <w:link w:val="26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2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5">
    <w:name w:val="annotation subject"/>
    <w:basedOn w:val="7"/>
    <w:next w:val="7"/>
    <w:link w:val="27"/>
    <w:qFormat/>
    <w:uiPriority w:val="0"/>
    <w:rPr>
      <w:b/>
      <w:bCs/>
    </w:rPr>
  </w:style>
  <w:style w:type="table" w:styleId="17">
    <w:name w:val="Table Grid"/>
    <w:basedOn w:val="1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8">
    <w:name w:val="Light Shading Accent 3"/>
    <w:basedOn w:val="16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20">
    <w:name w:val="Strong"/>
    <w:basedOn w:val="19"/>
    <w:qFormat/>
    <w:uiPriority w:val="0"/>
    <w:rPr>
      <w:b/>
    </w:rPr>
  </w:style>
  <w:style w:type="character" w:styleId="21">
    <w:name w:val="annotation reference"/>
    <w:basedOn w:val="19"/>
    <w:qFormat/>
    <w:uiPriority w:val="0"/>
    <w:rPr>
      <w:sz w:val="21"/>
      <w:szCs w:val="21"/>
    </w:rPr>
  </w:style>
  <w:style w:type="character" w:customStyle="1" w:styleId="22">
    <w:name w:val="页脚 字符"/>
    <w:basedOn w:val="19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3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4">
    <w:name w:val="列表段落1"/>
    <w:basedOn w:val="1"/>
    <w:unhideWhenUsed/>
    <w:qFormat/>
    <w:uiPriority w:val="99"/>
    <w:pPr>
      <w:ind w:firstLine="420"/>
    </w:pPr>
  </w:style>
  <w:style w:type="paragraph" w:styleId="25">
    <w:name w:val="List Paragraph"/>
    <w:basedOn w:val="1"/>
    <w:qFormat/>
    <w:uiPriority w:val="34"/>
    <w:pPr>
      <w:ind w:firstLine="420"/>
    </w:pPr>
  </w:style>
  <w:style w:type="character" w:customStyle="1" w:styleId="26">
    <w:name w:val="批注文字 字符"/>
    <w:basedOn w:val="19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7">
    <w:name w:val="批注主题 字符"/>
    <w:basedOn w:val="26"/>
    <w:link w:val="15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8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9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1143</Words>
  <Characters>1181</Characters>
  <Lines>27</Lines>
  <Paragraphs>7</Paragraphs>
  <TotalTime>2</TotalTime>
  <ScaleCrop>false</ScaleCrop>
  <LinksUpToDate>false</LinksUpToDate>
  <CharactersWithSpaces>1211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2025-07-22T08:44:43Z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7BBDB627F2584FB2AE2AEDF46BA28A6D_13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