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08.</w:t>
      </w:r>
      <w:bookmarkEnd w:id="0"/>
      <w:r>
        <w:rPr>
          <w:rFonts w:hint="eastAsia" w:ascii="黑体" w:hAnsi="黑体" w:eastAsia="黑体"/>
          <w:b/>
          <w:bCs/>
          <w:kern w:val="0"/>
          <w:szCs w:val="32"/>
          <w:lang w:val="en-US" w:eastAsia="zh-CN"/>
        </w:rPr>
        <w:t>车载风能回收装置开发</w:t>
      </w:r>
    </w:p>
    <w:bookmarkEnd w:id="3"/>
    <w:tbl>
      <w:tblPr>
        <w:tblStyle w:val="1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陕西中诺美天信息技术有限公司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59508DD7">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通过对车辆行驶中风能收集输送装置，将回收风能转换发电，使车辆增程，（包括涡轮机发电系统的开发），实现对车辆能源补给，达到新能源车辆增程的目标。</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0A62EF11">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燃油车依赖化石能源，导致碳排放和环境污染，而电动汽车（EV）虽被视为绿色替代方案，但其电池生产和回收仍存在环境问题，风能作为清洁能源，在车辆行驶中因气动阻力产生的风能未被有效利用。研究表明，汽车行驶中40%-60%的能耗由风阻造成，回收这部分能量可显著提升能效。电动汽车发展的技术瓶颈电动汽车电池成本约占整车成本的50%，且续航里程受限于电池容量。例如，比亚迪E6电池组重量超过600kg，续航仅300km，而风能回收系统可提升约20%的续航里程，并降低电池成本约7000元。</w:t>
            </w:r>
          </w:p>
          <w:p w14:paraId="692BBA1B">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充电基础设施不足：偏远地区或紧急情况下充电困难，风能回收可提供补充电力，缓解用户“里程焦虑”。</w:t>
            </w:r>
          </w:p>
          <w:p w14:paraId="761EB3A1">
            <w:pPr>
              <w:spacing w:line="360" w:lineRule="exact"/>
              <w:ind w:firstLine="562" w:firstLineChars="200"/>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C52A829">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（1）利用效率难以提高，经集风装置后进风口风速高达70m/s以上，目前没有适用的涡轮机可以对风能的利用效率达到20%以上；</w:t>
            </w:r>
          </w:p>
          <w:p w14:paraId="387C2F4D">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（2）体积和重量难以缩小，考虑安装空间和整车重量分布，体积和重量与能量利用的比值，即能量密度越小越好；</w:t>
            </w:r>
          </w:p>
          <w:p w14:paraId="2FB75F31">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（3）集风口和发电机安装位置以及格栅布置是关系原车型风阻改变和进风质量的难题；</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62CB022F">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①高速100-120km/h下,每小时发电5度左右,按照新能源车平均耗电20度/h,可实现增程25%,节省充电费用和时间，给车企带来营销卖点；</w:t>
            </w:r>
          </w:p>
          <w:p w14:paraId="4C812432">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②提高风能利用效率由目前的15%至20%以上；</w:t>
            </w:r>
          </w:p>
          <w:p w14:paraId="115680E9">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③减少体积和重量至车重的1%以内；</w:t>
            </w:r>
          </w:p>
          <w:p w14:paraId="6601D7B7">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④集风口安装位置以及格栅不增加原有车型风阻，以能减少风阻10%为目标</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093CCAF8">
            <w:p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预计投入资金150万元。</w:t>
            </w:r>
          </w:p>
          <w:tbl>
            <w:tblPr>
              <w:tblStyle w:val="18"/>
              <w:tblW w:w="48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046"/>
              <w:gridCol w:w="4845"/>
            </w:tblGrid>
            <w:tr w14:paraId="5929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 w:type="pct"/>
                  <w:vAlign w:val="center"/>
                </w:tcPr>
                <w:p w14:paraId="4918958A">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项目阶段</w:t>
                  </w:r>
                </w:p>
              </w:tc>
              <w:tc>
                <w:tcPr>
                  <w:tcW w:w="732" w:type="pct"/>
                  <w:vAlign w:val="center"/>
                </w:tcPr>
                <w:p w14:paraId="4DB8A883">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时间</w:t>
                  </w:r>
                </w:p>
              </w:tc>
              <w:tc>
                <w:tcPr>
                  <w:tcW w:w="3394" w:type="pct"/>
                  <w:vAlign w:val="center"/>
                </w:tcPr>
                <w:p w14:paraId="21F676D0">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具体任务</w:t>
                  </w:r>
                </w:p>
              </w:tc>
            </w:tr>
            <w:tr w14:paraId="50BC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72" w:type="pct"/>
                  <w:vMerge w:val="restart"/>
                  <w:vAlign w:val="center"/>
                </w:tcPr>
                <w:p w14:paraId="049D6ACD">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第一阶段：数值模拟和参数优化</w:t>
                  </w:r>
                </w:p>
              </w:tc>
              <w:tc>
                <w:tcPr>
                  <w:tcW w:w="732" w:type="pct"/>
                  <w:vMerge w:val="restart"/>
                  <w:vAlign w:val="center"/>
                </w:tcPr>
                <w:p w14:paraId="66C54155">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left"/>
                    <w:textAlignment w:val="auto"/>
                    <w:rPr>
                      <w:rFonts w:hint="eastAsia" w:ascii="仿宋" w:hAnsi="仿宋" w:eastAsia="仿宋" w:cs="仿宋_GB2312"/>
                      <w:color w:val="auto"/>
                      <w:sz w:val="24"/>
                      <w:szCs w:val="24"/>
                      <w:lang w:val="zh-CN"/>
                    </w:rPr>
                  </w:pPr>
                  <w:r>
                    <w:rPr>
                      <w:rFonts w:hint="eastAsia" w:ascii="仿宋" w:hAnsi="仿宋" w:eastAsia="仿宋" w:cs="仿宋_GB2312"/>
                      <w:color w:val="auto"/>
                      <w:sz w:val="24"/>
                      <w:szCs w:val="24"/>
                      <w:lang w:val="zh-CN"/>
                    </w:rPr>
                    <w:t>3个月</w:t>
                  </w:r>
                </w:p>
              </w:tc>
              <w:tc>
                <w:tcPr>
                  <w:tcW w:w="3394" w:type="pct"/>
                  <w:vAlign w:val="center"/>
                </w:tcPr>
                <w:p w14:paraId="1246BC44">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lang w:val="zh-CN"/>
                    </w:rPr>
                  </w:pPr>
                  <w:r>
                    <w:rPr>
                      <w:rFonts w:hint="eastAsia" w:ascii="仿宋" w:hAnsi="仿宋" w:eastAsia="仿宋" w:cs="仿宋_GB2312"/>
                      <w:color w:val="auto"/>
                      <w:sz w:val="24"/>
                      <w:szCs w:val="24"/>
                      <w:lang w:val="zh-CN"/>
                    </w:rPr>
                    <w:t>按照初步设计的涡轮机参数，开展数值模拟，分析进口风压和风速对效率、输出功率以及推力的关系；</w:t>
                  </w:r>
                </w:p>
              </w:tc>
            </w:tr>
            <w:tr w14:paraId="6AE6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72" w:type="pct"/>
                  <w:vMerge w:val="continue"/>
                  <w:vAlign w:val="center"/>
                </w:tcPr>
                <w:p w14:paraId="5E1B2F54">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p>
              </w:tc>
              <w:tc>
                <w:tcPr>
                  <w:tcW w:w="732" w:type="pct"/>
                  <w:vMerge w:val="continue"/>
                  <w:vAlign w:val="center"/>
                </w:tcPr>
                <w:p w14:paraId="47683B7C">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480"/>
                    <w:jc w:val="left"/>
                    <w:textAlignment w:val="auto"/>
                    <w:rPr>
                      <w:rFonts w:hint="eastAsia" w:ascii="仿宋" w:hAnsi="仿宋" w:eastAsia="仿宋" w:cs="仿宋_GB2312"/>
                      <w:color w:val="auto"/>
                      <w:sz w:val="24"/>
                      <w:szCs w:val="24"/>
                      <w:lang w:val="zh-CN"/>
                    </w:rPr>
                  </w:pPr>
                </w:p>
              </w:tc>
              <w:tc>
                <w:tcPr>
                  <w:tcW w:w="3394" w:type="pct"/>
                  <w:vAlign w:val="center"/>
                </w:tcPr>
                <w:p w14:paraId="7070B374">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lang w:val="zh-CN"/>
                    </w:rPr>
                  </w:pPr>
                  <w:r>
                    <w:rPr>
                      <w:rFonts w:hint="eastAsia" w:ascii="仿宋" w:hAnsi="仿宋" w:eastAsia="仿宋" w:cs="仿宋_GB2312"/>
                      <w:color w:val="auto"/>
                      <w:sz w:val="24"/>
                      <w:szCs w:val="24"/>
                      <w:lang w:val="zh-CN"/>
                    </w:rPr>
                    <w:t>利用数值模拟调整涡轮机参数</w:t>
                  </w:r>
                  <w:r>
                    <w:rPr>
                      <w:rFonts w:ascii="仿宋" w:hAnsi="仿宋" w:eastAsia="仿宋" w:cs="仿宋_GB2312"/>
                      <w:color w:val="auto"/>
                      <w:sz w:val="24"/>
                      <w:szCs w:val="24"/>
                      <w:lang w:val="zh-CN"/>
                    </w:rPr>
                    <w:t>—</w:t>
                  </w:r>
                  <w:r>
                    <w:rPr>
                      <w:rFonts w:hint="eastAsia" w:ascii="仿宋" w:hAnsi="仿宋" w:eastAsia="仿宋" w:cs="仿宋_GB2312"/>
                      <w:color w:val="auto"/>
                      <w:sz w:val="24"/>
                      <w:szCs w:val="24"/>
                      <w:lang w:val="zh-CN"/>
                    </w:rPr>
                    <w:t>几何大小，进气口和排气口尺寸，叶盘厚度和间隙等，通过优化得到最佳参数。</w:t>
                  </w:r>
                </w:p>
              </w:tc>
            </w:tr>
            <w:tr w14:paraId="030A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2" w:type="pct"/>
                  <w:vAlign w:val="center"/>
                </w:tcPr>
                <w:p w14:paraId="567BC4CB">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第二阶段：样机加工</w:t>
                  </w:r>
                </w:p>
              </w:tc>
              <w:tc>
                <w:tcPr>
                  <w:tcW w:w="732" w:type="pct"/>
                  <w:vAlign w:val="center"/>
                </w:tcPr>
                <w:p w14:paraId="42D9C23B">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lang w:val="zh-CN"/>
                    </w:rPr>
                  </w:pPr>
                  <w:r>
                    <w:rPr>
                      <w:rFonts w:hint="eastAsia" w:ascii="仿宋" w:hAnsi="仿宋" w:eastAsia="仿宋" w:cs="仿宋_GB2312"/>
                      <w:color w:val="auto"/>
                      <w:sz w:val="24"/>
                      <w:szCs w:val="24"/>
                      <w:lang w:val="zh-CN"/>
                    </w:rPr>
                    <w:t>6个月</w:t>
                  </w:r>
                </w:p>
              </w:tc>
              <w:tc>
                <w:tcPr>
                  <w:tcW w:w="3394" w:type="pct"/>
                  <w:vAlign w:val="center"/>
                </w:tcPr>
                <w:p w14:paraId="646B218B">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lang w:val="zh-CN"/>
                    </w:rPr>
                  </w:pPr>
                  <w:r>
                    <w:rPr>
                      <w:rFonts w:hint="eastAsia" w:ascii="仿宋" w:hAnsi="仿宋" w:eastAsia="仿宋" w:cs="仿宋_GB2312"/>
                      <w:color w:val="auto"/>
                      <w:sz w:val="24"/>
                      <w:szCs w:val="24"/>
                      <w:lang w:val="zh-CN"/>
                    </w:rPr>
                    <w:t>确定好选用模型后，针对优化结果进行产品第一代样机加工，并开展性能测试；</w:t>
                  </w:r>
                </w:p>
              </w:tc>
            </w:tr>
            <w:tr w14:paraId="29AC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72" w:type="pct"/>
                  <w:vAlign w:val="center"/>
                </w:tcPr>
                <w:p w14:paraId="1A9AF576">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第三阶段：性能测试</w:t>
                  </w:r>
                </w:p>
              </w:tc>
              <w:tc>
                <w:tcPr>
                  <w:tcW w:w="732" w:type="pct"/>
                  <w:vAlign w:val="center"/>
                </w:tcPr>
                <w:p w14:paraId="06BBBC1E">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lang w:val="zh-CN"/>
                    </w:rPr>
                  </w:pPr>
                  <w:r>
                    <w:rPr>
                      <w:rFonts w:hint="eastAsia" w:ascii="仿宋" w:hAnsi="仿宋" w:eastAsia="仿宋" w:cs="仿宋_GB2312"/>
                      <w:color w:val="auto"/>
                      <w:sz w:val="24"/>
                      <w:szCs w:val="24"/>
                      <w:lang w:val="zh-CN"/>
                    </w:rPr>
                    <w:t>12个月</w:t>
                  </w:r>
                </w:p>
              </w:tc>
              <w:tc>
                <w:tcPr>
                  <w:tcW w:w="3394" w:type="pct"/>
                  <w:vAlign w:val="center"/>
                </w:tcPr>
                <w:p w14:paraId="5EB4A910">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lang w:val="zh-CN"/>
                    </w:rPr>
                  </w:pPr>
                  <w:r>
                    <w:rPr>
                      <w:rFonts w:hint="eastAsia" w:ascii="仿宋" w:hAnsi="仿宋" w:eastAsia="仿宋" w:cs="仿宋_GB2312"/>
                      <w:color w:val="auto"/>
                      <w:sz w:val="24"/>
                      <w:szCs w:val="24"/>
                      <w:lang w:val="zh-CN"/>
                    </w:rPr>
                    <w:t>开展车载实验；</w:t>
                  </w:r>
                </w:p>
              </w:tc>
            </w:tr>
            <w:tr w14:paraId="1922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 w:type="pct"/>
                  <w:vAlign w:val="center"/>
                </w:tcPr>
                <w:p w14:paraId="0E5E5AF0">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第四阶段：产品细节优化</w:t>
                  </w:r>
                </w:p>
              </w:tc>
              <w:tc>
                <w:tcPr>
                  <w:tcW w:w="732" w:type="pct"/>
                  <w:vAlign w:val="center"/>
                </w:tcPr>
                <w:p w14:paraId="30B36987">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长期负责</w:t>
                  </w:r>
                </w:p>
              </w:tc>
              <w:tc>
                <w:tcPr>
                  <w:tcW w:w="3394" w:type="pct"/>
                  <w:vAlign w:val="center"/>
                </w:tcPr>
                <w:p w14:paraId="37D5720E">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进行N代产品的细节优化和持续开发；</w:t>
                  </w:r>
                </w:p>
                <w:p w14:paraId="0296BFCA">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其他车载余能回收产品研发；</w:t>
                  </w:r>
                </w:p>
                <w:p w14:paraId="62B73A1A">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仿宋" w:hAnsi="仿宋" w:eastAsia="仿宋" w:cs="仿宋_GB2312"/>
                      <w:color w:val="auto"/>
                      <w:sz w:val="24"/>
                      <w:szCs w:val="24"/>
                    </w:rPr>
                  </w:pPr>
                  <w:r>
                    <w:rPr>
                      <w:rFonts w:hint="eastAsia" w:ascii="仿宋" w:hAnsi="仿宋" w:eastAsia="仿宋" w:cs="仿宋_GB2312"/>
                      <w:color w:val="auto"/>
                      <w:sz w:val="24"/>
                      <w:szCs w:val="24"/>
                    </w:rPr>
                    <w:t>等等的相关技术开发和服务的负责工作</w:t>
                  </w:r>
                </w:p>
              </w:tc>
            </w:tr>
          </w:tbl>
          <w:p w14:paraId="24FB5C1E">
            <w:pPr>
              <w:spacing w:line="360" w:lineRule="exact"/>
              <w:ind w:left="0" w:leftChars="0" w:firstLine="560" w:firstLineChars="200"/>
              <w:rPr>
                <w:rFonts w:hint="default" w:ascii="仿宋" w:hAnsi="仿宋" w:eastAsia="仿宋" w:cs="宋体"/>
                <w:kern w:val="2"/>
                <w:sz w:val="28"/>
                <w:szCs w:val="28"/>
                <w:lang w:val="en-US" w:eastAsia="zh-CN" w:bidi="ar-SA"/>
              </w:rPr>
            </w:pP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590E719F">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有针对垂直轴风力发电机和无叶片涡轮机的研发经验，但是目前遇到了瓶颈，主要问题是无叶片涡轮机效率难以提高且噪音较大，制作比较困难；垂直轴风力发电机体积较大，能量密度较小，风能利用效率15%左右。</w:t>
            </w:r>
          </w:p>
          <w:p w14:paraId="5F4929F5">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0141C54A">
            <w:pPr>
              <w:pStyle w:val="25"/>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研发阶段</w:t>
            </w:r>
          </w:p>
          <w:p w14:paraId="4202941E">
            <w:pPr>
              <w:pStyle w:val="25"/>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40268DA0">
            <w:pPr>
              <w:pStyle w:val="25"/>
              <w:spacing w:line="360" w:lineRule="exact"/>
              <w:ind w:left="0"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50万元/年，1名博士研究生和2名硕士研究生，工程师1名。</w:t>
            </w:r>
          </w:p>
          <w:p w14:paraId="27B41428">
            <w:pPr>
              <w:pStyle w:val="25"/>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2E0EB15A">
            <w:pPr>
              <w:pStyle w:val="25"/>
              <w:spacing w:line="360" w:lineRule="exact"/>
              <w:ind w:left="0"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测风仪器2套，新能源实验用车2辆，3D打印设备；高速风洞1套。</w:t>
            </w:r>
          </w:p>
          <w:p w14:paraId="46B58AFF">
            <w:pPr>
              <w:pStyle w:val="25"/>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244E0AE8">
            <w:pPr>
              <w:pStyle w:val="25"/>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高精机床1套。</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希望与理工类高效新能源风能专业开展产学研合作，专家及团队在垂直轴系列风力发电机研发领域有一定研究基础，副教授及以上职称，并在车载风能回收领域有专长和研究积累。</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3"/>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6"/>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7"/>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0B5533"/>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4">
    <w:name w:val="heading 1"/>
    <w:basedOn w:val="5"/>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6">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7">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20">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Title"/>
    <w:basedOn w:val="1"/>
    <w:qFormat/>
    <w:uiPriority w:val="0"/>
    <w:pPr>
      <w:spacing w:before="240" w:after="60"/>
      <w:jc w:val="center"/>
      <w:outlineLvl w:val="0"/>
    </w:pPr>
    <w:rPr>
      <w:rFonts w:ascii="Arial" w:hAnsi="Arial"/>
      <w:b/>
    </w:rPr>
  </w:style>
  <w:style w:type="paragraph" w:styleId="8">
    <w:name w:val="Normal Indent"/>
    <w:basedOn w:val="1"/>
    <w:qFormat/>
    <w:uiPriority w:val="0"/>
    <w:pPr>
      <w:ind w:firstLine="420" w:firstLineChars="0"/>
    </w:pPr>
    <w:rPr>
      <w:rFonts w:ascii="Calibri" w:hAnsi="Calibri" w:eastAsia="宋体" w:cs="Times New Roman"/>
      <w:sz w:val="21"/>
      <w:szCs w:val="20"/>
    </w:rPr>
  </w:style>
  <w:style w:type="paragraph" w:styleId="9">
    <w:name w:val="annotation text"/>
    <w:basedOn w:val="1"/>
    <w:link w:val="26"/>
    <w:qFormat/>
    <w:uiPriority w:val="0"/>
    <w:pPr>
      <w:jc w:val="left"/>
    </w:pPr>
  </w:style>
  <w:style w:type="paragraph" w:styleId="10">
    <w:name w:val="Body Text 3"/>
    <w:basedOn w:val="1"/>
    <w:qFormat/>
    <w:uiPriority w:val="0"/>
    <w:rPr>
      <w:rFonts w:ascii="仿宋_GB2312"/>
      <w:spacing w:val="-4"/>
      <w:sz w:val="16"/>
      <w:szCs w:val="16"/>
    </w:rPr>
  </w:style>
  <w:style w:type="paragraph" w:styleId="11">
    <w:name w:val="Body Text"/>
    <w:basedOn w:val="1"/>
    <w:qFormat/>
    <w:uiPriority w:val="0"/>
    <w:pPr>
      <w:spacing w:after="120"/>
    </w:pPr>
    <w:rPr>
      <w:rFonts w:ascii="Calibri" w:hAnsi="Calibri"/>
      <w:sz w:val="24"/>
    </w:rPr>
  </w:style>
  <w:style w:type="paragraph" w:styleId="12">
    <w:name w:val="Date"/>
    <w:basedOn w:val="1"/>
    <w:next w:val="1"/>
    <w:qFormat/>
    <w:uiPriority w:val="0"/>
    <w:pPr>
      <w:ind w:left="100" w:leftChars="2500"/>
    </w:pPr>
    <w:rPr>
      <w:sz w:val="28"/>
    </w:rPr>
  </w:style>
  <w:style w:type="paragraph" w:styleId="13">
    <w:name w:val="footer"/>
    <w:basedOn w:val="1"/>
    <w:link w:val="22"/>
    <w:qFormat/>
    <w:uiPriority w:val="0"/>
    <w:pPr>
      <w:tabs>
        <w:tab w:val="center" w:pos="4153"/>
        <w:tab w:val="right" w:pos="8306"/>
      </w:tabs>
      <w:snapToGrid w:val="0"/>
      <w:ind w:firstLine="0" w:firstLineChars="0"/>
      <w:jc w:val="left"/>
    </w:pPr>
    <w:rPr>
      <w:rFonts w:eastAsia="宋体"/>
      <w:sz w:val="2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0"/>
  </w:style>
  <w:style w:type="paragraph" w:styleId="16">
    <w:name w:val="annotation subject"/>
    <w:basedOn w:val="9"/>
    <w:next w:val="9"/>
    <w:link w:val="2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Light Shading Accent 3"/>
    <w:basedOn w:val="17"/>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1">
    <w:name w:val="annotation reference"/>
    <w:basedOn w:val="20"/>
    <w:qFormat/>
    <w:uiPriority w:val="0"/>
    <w:rPr>
      <w:sz w:val="21"/>
      <w:szCs w:val="21"/>
    </w:rPr>
  </w:style>
  <w:style w:type="character" w:customStyle="1" w:styleId="22">
    <w:name w:val="页脚 字符"/>
    <w:basedOn w:val="20"/>
    <w:link w:val="13"/>
    <w:semiHidden/>
    <w:qFormat/>
    <w:uiPriority w:val="99"/>
    <w:rPr>
      <w:rFonts w:ascii="Times New Roman" w:hAnsi="Times New Roman" w:eastAsia="宋体"/>
      <w:sz w:val="28"/>
      <w:szCs w:val="18"/>
    </w:rPr>
  </w:style>
  <w:style w:type="paragraph" w:customStyle="1" w:styleId="23">
    <w:name w:val="List Paragraph1"/>
    <w:basedOn w:val="1"/>
    <w:qFormat/>
    <w:uiPriority w:val="0"/>
    <w:pPr>
      <w:ind w:firstLine="420"/>
    </w:pPr>
    <w:rPr>
      <w:rFonts w:ascii="Calibri" w:hAnsi="Calibri"/>
      <w:szCs w:val="22"/>
    </w:rPr>
  </w:style>
  <w:style w:type="paragraph" w:customStyle="1" w:styleId="24">
    <w:name w:val="列表段落1"/>
    <w:basedOn w:val="1"/>
    <w:unhideWhenUsed/>
    <w:qFormat/>
    <w:uiPriority w:val="99"/>
    <w:pPr>
      <w:ind w:firstLine="420"/>
    </w:pPr>
  </w:style>
  <w:style w:type="paragraph" w:styleId="25">
    <w:name w:val="List Paragraph"/>
    <w:basedOn w:val="1"/>
    <w:qFormat/>
    <w:uiPriority w:val="34"/>
    <w:pPr>
      <w:ind w:firstLine="420"/>
    </w:pPr>
  </w:style>
  <w:style w:type="character" w:customStyle="1" w:styleId="26">
    <w:name w:val="批注文字 字符"/>
    <w:basedOn w:val="20"/>
    <w:link w:val="9"/>
    <w:qFormat/>
    <w:uiPriority w:val="0"/>
    <w:rPr>
      <w:rFonts w:eastAsia="仿宋_GB2312" w:cstheme="minorBidi"/>
      <w:kern w:val="2"/>
      <w:sz w:val="32"/>
      <w:szCs w:val="24"/>
    </w:rPr>
  </w:style>
  <w:style w:type="character" w:customStyle="1" w:styleId="27">
    <w:name w:val="批注主题 字符"/>
    <w:basedOn w:val="26"/>
    <w:link w:val="16"/>
    <w:qFormat/>
    <w:uiPriority w:val="0"/>
    <w:rPr>
      <w:rFonts w:eastAsia="仿宋_GB2312" w:cstheme="minorBidi"/>
      <w:b/>
      <w:bCs/>
      <w:kern w:val="2"/>
      <w:sz w:val="32"/>
      <w:szCs w:val="24"/>
    </w:rPr>
  </w:style>
  <w:style w:type="paragraph" w:customStyle="1" w:styleId="28">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9">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454</Words>
  <Characters>476</Characters>
  <Lines>27</Lines>
  <Paragraphs>7</Paragraphs>
  <TotalTime>0</TotalTime>
  <ScaleCrop>false</ScaleCrop>
  <LinksUpToDate>false</LinksUpToDate>
  <CharactersWithSpaces>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2025-07-23T02:41:28Z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B918829BE519448CBD27D4C34DF8C3D5_13</vt:lpwstr>
  </property>
  <property fmtid="{D5CDD505-2E9C-101B-9397-08002B2CF9AE}" pid="4" name="KSOTemplateDocerSaveRecord">
    <vt:lpwstr>eyJoZGlkIjoiNTQ1YTcwOTc1ZDUxNTcwOGNiZjNiNTdiY2QzOTc1YTgiLCJ1c2VySWQiOiI5NjYxMjMwNzMifQ==</vt:lpwstr>
  </property>
</Properties>
</file>