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7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09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大规模风能与光电互补集成系统的优化设计与智能控制</w:t>
      </w:r>
    </w:p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Cs w:val="32"/>
        </w:rPr>
        <w:t>技术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研发</w:t>
      </w:r>
    </w:p>
    <w:tbl>
      <w:tblPr>
        <w:tblStyle w:val="17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西安兵器工业科技产业开发有限公司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30F5F"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225A6EA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（1）储能技术瓶颈：蓄电池成本占系统总成本50%以上，且寿命受充放电策略影响显著（低温环境容量衰减＞30%）。</w:t>
            </w:r>
          </w:p>
          <w:p w14:paraId="38F9248C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（2）设备可靠性问题：风机机械限速装置响应延迟＞500ms，强紊流中易引发过载或叶片断裂；逆变器转换效率≤95%，并网时易引发电压闪变和谐波干扰。</w:t>
            </w:r>
          </w:p>
          <w:p w14:paraId="50351F4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（3）控制复杂性：多能源协同调度滞后，难以应对风光波动叠加引发的功率振荡。</w:t>
            </w:r>
          </w:p>
          <w:p w14:paraId="21CD1DD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（4）风光互补系统需通过技术协同与智能控制，显著提升能源利用率与经济性，需持续突破储能成本、预测精度及设备可靠性瓶颈。</w:t>
            </w:r>
          </w:p>
          <w:p w14:paraId="02AA0953">
            <w:pPr>
              <w:spacing w:line="360" w:lineRule="exact"/>
              <w:ind w:firstLine="560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6AD9E87D">
            <w:pPr>
              <w:spacing w:line="360" w:lineRule="exact"/>
              <w:ind w:firstLine="560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风光互补系统的技术需求源于能源安全、环保政策及偏远地区供电缺口，其应用已从基础设施扩展至工业、农业、国防等多领域。未来需继续突破储能成本、预测精度、设备耐候性等瓶颈，并通过政策支持与技术创新（如钙钛矿光伏板、智能微电网）进一步释放市场潜力（预计2025年国内市场规模达1.8万亿元）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31C9F6FA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（1）系统建模：基于气象历史数据建立风光资源时空分布模型；</w:t>
            </w:r>
          </w:p>
          <w:p w14:paraId="5C2108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（2）优化设计：采用多目标遗传算法优化风机布局、光伏倾角及储能配置；</w:t>
            </w:r>
          </w:p>
          <w:p w14:paraId="1AC0B2F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（3）智能控制：开发基于强化学习的分层控制器（场站级-区域级）；</w:t>
            </w:r>
          </w:p>
          <w:p w14:paraId="1DE9CDE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（4）验证测试：通过RT-LAB硬件在环平台进行72小时连续运行测试。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tbl>
            <w:tblPr>
              <w:tblStyle w:val="17"/>
              <w:tblW w:w="0" w:type="auto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3"/>
              <w:gridCol w:w="4480"/>
              <w:gridCol w:w="1589"/>
            </w:tblGrid>
            <w:tr w14:paraId="0E8D736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80" w:hRule="atLeast"/>
                <w:tblHeader/>
                <w:jc w:val="center"/>
              </w:trPr>
              <w:tc>
                <w:tcPr>
                  <w:tcW w:w="1013" w:type="dxa"/>
                  <w:tcBorders>
                    <w:top w:val="nil"/>
                    <w:left w:val="nil"/>
                    <w:bottom w:val="single" w:color="E0E0E0" w:sz="4" w:space="0"/>
                    <w:right w:val="single" w:color="E0E0E0" w:sz="4" w:space="0"/>
                  </w:tcBorders>
                  <w:shd w:val="clear" w:color="auto" w:fill="EDEDED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6ADF0502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功能</w:t>
                  </w:r>
                </w:p>
                <w:p w14:paraId="2D23F36A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模块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single" w:color="E0E0E0" w:sz="4" w:space="0"/>
                    <w:bottom w:val="single" w:color="E0E0E0" w:sz="4" w:space="0"/>
                    <w:right w:val="single" w:color="E0E0E0" w:sz="4" w:space="0"/>
                  </w:tcBorders>
                  <w:shd w:val="clear" w:color="auto" w:fill="EDEDED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7411CF46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​技术指标​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single" w:color="E0E0E0" w:sz="4" w:space="0"/>
                    <w:bottom w:val="single" w:color="E0E0E0" w:sz="4" w:space="0"/>
                    <w:right w:val="nil"/>
                  </w:tcBorders>
                  <w:shd w:val="clear" w:color="auto" w:fill="EDEDED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2E220F9B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验证标准</w:t>
                  </w:r>
                </w:p>
              </w:tc>
            </w:tr>
            <w:tr w14:paraId="24189E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013" w:type="dxa"/>
                  <w:tcBorders>
                    <w:top w:val="single" w:color="E0E0E0" w:sz="4" w:space="0"/>
                    <w:left w:val="nil"/>
                    <w:bottom w:val="single" w:color="E0E0E0" w:sz="4" w:space="0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4393F4B1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分层控制架构</w:t>
                  </w:r>
                </w:p>
              </w:tc>
              <w:tc>
                <w:tcPr>
                  <w:tcW w:w="4480" w:type="dxa"/>
                  <w:tcBorders>
                    <w:top w:val="single" w:color="E0E0E0" w:sz="4" w:space="0"/>
                    <w:left w:val="single" w:color="E0E0E0" w:sz="4" w:space="0"/>
                    <w:bottom w:val="single" w:color="E0E0E0" w:sz="4" w:space="0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6787E75C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系统采用两级控制结构。</w:t>
                  </w:r>
                </w:p>
                <w:p w14:paraId="0115CE9C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场站级（本地控制）+区域级（云调度中心）</w:t>
                  </w:r>
                </w:p>
              </w:tc>
              <w:tc>
                <w:tcPr>
                  <w:tcW w:w="1589" w:type="dxa"/>
                  <w:tcBorders>
                    <w:top w:val="single" w:color="E0E0E0" w:sz="4" w:space="0"/>
                    <w:left w:val="single" w:color="E0E0E0" w:sz="4" w:space="0"/>
                    <w:bottom w:val="single" w:color="E0E0E0" w:sz="4" w:space="0"/>
                    <w:right w:val="nil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59AABEB4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场站断网时，本地控制器可独立维持系统稳定运行≥24小时</w:t>
                  </w:r>
                </w:p>
              </w:tc>
            </w:tr>
            <w:tr w14:paraId="261ECD8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jc w:val="center"/>
              </w:trPr>
              <w:tc>
                <w:tcPr>
                  <w:tcW w:w="1013" w:type="dxa"/>
                  <w:tcBorders>
                    <w:top w:val="single" w:color="E0E0E0" w:sz="4" w:space="0"/>
                    <w:left w:val="nil"/>
                    <w:bottom w:val="single" w:color="E0E0E0" w:sz="4" w:space="0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78D042C0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强化学习算法</w:t>
                  </w:r>
                </w:p>
              </w:tc>
              <w:tc>
                <w:tcPr>
                  <w:tcW w:w="4480" w:type="dxa"/>
                  <w:tcBorders>
                    <w:top w:val="single" w:color="E0E0E0" w:sz="4" w:space="0"/>
                    <w:left w:val="single" w:color="E0E0E0" w:sz="4" w:space="0"/>
                    <w:bottom w:val="single" w:color="E0E0E0" w:sz="4" w:space="0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3C8B04DF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eastAsia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动态调度策略更新周期≤10分钟</w:t>
                  </w:r>
                  <w:r>
                    <w:rPr>
                      <w:rFonts w:hint="eastAsia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（</w:t>
                  </w: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 指从算法感知到需要更新策略（基于环境变化或性能评估）开始，到完成新策略的计算、验证（可在仿真环境中快速进行）、并成功部署到执行单元（场站控制器）的整个过程所花费的最大时间。</w:t>
                  </w:r>
                  <w:r>
                    <w:rPr>
                      <w:rFonts w:hint="eastAsia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589" w:type="dxa"/>
                  <w:tcBorders>
                    <w:top w:val="single" w:color="E0E0E0" w:sz="4" w:space="0"/>
                    <w:left w:val="single" w:color="E0E0E0" w:sz="4" w:space="0"/>
                    <w:bottom w:val="single" w:color="E0E0E0" w:sz="4" w:space="0"/>
                    <w:right w:val="nil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51D39782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模拟风速/辐照突变场景，新策略生效后系统恢复稳定的时间≤5分钟</w:t>
                  </w:r>
                </w:p>
              </w:tc>
            </w:tr>
            <w:tr w14:paraId="5C3AB37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40" w:hRule="atLeast"/>
                <w:jc w:val="center"/>
              </w:trPr>
              <w:tc>
                <w:tcPr>
                  <w:tcW w:w="1013" w:type="dxa"/>
                  <w:tcBorders>
                    <w:top w:val="single" w:color="E0E0E0" w:sz="4" w:space="0"/>
                    <w:left w:val="nil"/>
                    <w:bottom w:val="nil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26F4D321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安全</w:t>
                  </w:r>
                </w:p>
                <w:p w14:paraId="085B0F54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防护​</w:t>
                  </w:r>
                </w:p>
              </w:tc>
              <w:tc>
                <w:tcPr>
                  <w:tcW w:w="4480" w:type="dxa"/>
                  <w:tcBorders>
                    <w:top w:val="single" w:color="E0E0E0" w:sz="4" w:space="0"/>
                    <w:left w:val="single" w:color="E0E0E0" w:sz="4" w:space="0"/>
                    <w:bottom w:val="nil"/>
                    <w:right w:val="single" w:color="E0E0E0" w:sz="4" w:space="0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7E4345C1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符合《电力监控系统安全防护规定》（发改委14号令）</w:t>
                  </w:r>
                </w:p>
              </w:tc>
              <w:tc>
                <w:tcPr>
                  <w:tcW w:w="1589" w:type="dxa"/>
                  <w:tcBorders>
                    <w:top w:val="single" w:color="E0E0E0" w:sz="4" w:space="0"/>
                    <w:left w:val="single" w:color="E0E0E0" w:sz="4" w:space="0"/>
                    <w:bottom w:val="nil"/>
                    <w:right w:val="nil"/>
                  </w:tcBorders>
                  <w:shd w:val="clear" w:color="auto" w:fill="FFFFFF"/>
                  <w:noWrap w:val="0"/>
                  <w:tcMar>
                    <w:top w:w="158" w:type="dxa"/>
                    <w:left w:w="210" w:type="dxa"/>
                    <w:bottom w:w="158" w:type="dxa"/>
                    <w:right w:w="210" w:type="dxa"/>
                  </w:tcMar>
                  <w:vAlign w:val="center"/>
                </w:tcPr>
                <w:p w14:paraId="69EB2C3A">
                  <w:pPr>
                    <w:pStyle w:val="1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360" w:lineRule="exact"/>
                    <w:ind w:left="0" w:leftChars="0" w:firstLine="0" w:firstLineChars="0"/>
                    <w:jc w:val="center"/>
                    <w:textAlignment w:val="auto"/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仿宋" w:hAnsi="仿宋" w:eastAsia="仿宋" w:cs="仿宋_GB2312"/>
                      <w:color w:val="auto"/>
                      <w:sz w:val="24"/>
                      <w:szCs w:val="24"/>
                      <w:lang w:val="en-US" w:eastAsia="zh-CN"/>
                    </w:rPr>
                    <w:t>提供第三方安全测评报告（等保三级）</w:t>
                  </w:r>
                </w:p>
              </w:tc>
            </w:tr>
          </w:tbl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1E2D75B8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初始投资总成本预计约150万元，研发投入需占总预算的50%-60%，单项目研发周期需控制在10个月。</w:t>
            </w:r>
          </w:p>
          <w:p w14:paraId="7B11572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平准化度电成本（LCOE）：需降至0.05-0.08美元/kWh，较单一风电系统降低15%-20%。全生命周期运维费用需≤初始投资的10%，通过预测性维护技术降低故障停机损失。</w:t>
            </w:r>
          </w:p>
          <w:p w14:paraId="4CB8AB8A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政策补贴：需结合国家可再生能源补贴（如设备成本补贴10%-15%）、碳交易收益（年减排量≥500吨CO₂）优化经济模型。</w:t>
            </w:r>
          </w:p>
          <w:p w14:paraId="21C4A0A3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需按下列计划进度完成研究开发工作：一个月内完成研究计划和系统架构设计方案；三个月内完成研究智能控制算法源代码（MATLAB/Python）、硬件在环测试平台搭建完成、测试验证报告；</w:t>
            </w:r>
          </w:p>
          <w:p w14:paraId="783B85DB">
            <w:pPr>
              <w:spacing w:line="360" w:lineRule="exact"/>
              <w:ind w:firstLine="56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六个月内完成研究并提供全套技术文档、控制软件、测试样机及知识产权清单。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1D27AE80">
            <w:pPr>
              <w:spacing w:line="360" w:lineRule="exact"/>
              <w:ind w:firstLine="562"/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分析规划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2C342A45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调研</w:t>
            </w:r>
          </w:p>
          <w:p w14:paraId="4202941E">
            <w:pPr>
              <w:pStyle w:val="25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5C39D0F0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150万，相关项目配合研发人员</w:t>
            </w:r>
          </w:p>
          <w:p w14:paraId="27B41428">
            <w:pPr>
              <w:pStyle w:val="25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29C0E8BB">
            <w:pPr>
              <w:spacing w:line="360" w:lineRule="exact"/>
              <w:ind w:left="0"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所需研发等设备均齐全</w:t>
            </w:r>
          </w:p>
          <w:p w14:paraId="46B58AFF">
            <w:pPr>
              <w:pStyle w:val="25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5"/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希望与相关理工</w:t>
            </w:r>
            <w:bookmarkStart w:id="3" w:name="_GoBack"/>
            <w:bookmarkEnd w:id="3"/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类高校、相关领域教授开展产学研合作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2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3604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6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2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annotation subject"/>
    <w:basedOn w:val="7"/>
    <w:next w:val="7"/>
    <w:link w:val="27"/>
    <w:qFormat/>
    <w:uiPriority w:val="0"/>
    <w:rPr>
      <w:b/>
      <w:bCs/>
    </w:rPr>
  </w:style>
  <w:style w:type="paragraph" w:styleId="16">
    <w:name w:val="Body Text First Indent 2"/>
    <w:basedOn w:val="10"/>
    <w:unhideWhenUsed/>
    <w:qFormat/>
    <w:uiPriority w:val="99"/>
    <w:pPr>
      <w:ind w:firstLine="420" w:firstLineChars="200"/>
    </w:p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9">
    <w:name w:val="Light Shading Accent 3"/>
    <w:basedOn w:val="17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1">
    <w:name w:val="annotation reference"/>
    <w:basedOn w:val="20"/>
    <w:qFormat/>
    <w:uiPriority w:val="0"/>
    <w:rPr>
      <w:sz w:val="21"/>
      <w:szCs w:val="21"/>
    </w:rPr>
  </w:style>
  <w:style w:type="character" w:customStyle="1" w:styleId="22">
    <w:name w:val="页脚 字符"/>
    <w:basedOn w:val="20"/>
    <w:link w:val="12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3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4">
    <w:name w:val="列表段落1"/>
    <w:basedOn w:val="1"/>
    <w:unhideWhenUsed/>
    <w:qFormat/>
    <w:uiPriority w:val="99"/>
    <w:pPr>
      <w:ind w:firstLine="420"/>
    </w:pPr>
  </w:style>
  <w:style w:type="paragraph" w:styleId="25">
    <w:name w:val="List Paragraph"/>
    <w:basedOn w:val="1"/>
    <w:qFormat/>
    <w:uiPriority w:val="34"/>
    <w:pPr>
      <w:ind w:firstLine="420"/>
    </w:pPr>
  </w:style>
  <w:style w:type="character" w:customStyle="1" w:styleId="26">
    <w:name w:val="批注文字 字符"/>
    <w:basedOn w:val="20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7">
    <w:name w:val="批注主题 字符"/>
    <w:basedOn w:val="26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9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454</Words>
  <Characters>476</Characters>
  <Lines>27</Lines>
  <Paragraphs>7</Paragraphs>
  <TotalTime>2</TotalTime>
  <ScaleCrop>false</ScaleCrop>
  <LinksUpToDate>false</LinksUpToDate>
  <CharactersWithSpaces>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2025-07-23T02:55:43Z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8350F38A13C14B39B61C62FF581CB7D7_13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