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11.</w:t>
      </w:r>
      <w:bookmarkEnd w:id="0"/>
      <w:r>
        <w:rPr>
          <w:rFonts w:hint="eastAsia" w:ascii="黑体" w:hAnsi="黑体" w:eastAsia="黑体"/>
          <w:b/>
          <w:bCs/>
          <w:kern w:val="0"/>
          <w:szCs w:val="32"/>
          <w:lang w:val="en-US" w:eastAsia="zh-CN"/>
        </w:rPr>
        <w:t>公路隧道无线通讯自组网关键技术</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西安地山智能技术有限公司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568935FA">
            <w:pPr>
              <w:pStyle w:val="23"/>
              <w:widowControl w:val="0"/>
              <w:numPr>
                <w:ilvl w:val="0"/>
                <w:numId w:val="0"/>
              </w:numPr>
              <w:spacing w:line="360" w:lineRule="exact"/>
              <w:ind w:firstLine="560" w:firstLineChars="200"/>
              <w:jc w:val="both"/>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高速公路的隧道环境复杂、传统的通信方式易受信号盲区、噪音干扰等限制。公路隧道无线通讯自组网的建成可以有效解决隧道环境下的通信覆盖、可靠性和应急响应难题。 </w:t>
            </w:r>
          </w:p>
          <w:p w14:paraId="42DC599B">
            <w:pPr>
              <w:pStyle w:val="23"/>
              <w:widowControl w:val="0"/>
              <w:numPr>
                <w:ilvl w:val="0"/>
                <w:numId w:val="0"/>
              </w:numPr>
              <w:spacing w:line="360" w:lineRule="exact"/>
              <w:ind w:firstLine="560" w:firstLineChars="200"/>
              <w:jc w:val="both"/>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而实现公路隧道无线通讯自组网，仍面临如下行业技术问题：</w:t>
            </w:r>
          </w:p>
          <w:p w14:paraId="700F156C">
            <w:pPr>
              <w:pStyle w:val="23"/>
              <w:widowControl w:val="0"/>
              <w:numPr>
                <w:ilvl w:val="0"/>
                <w:numId w:val="0"/>
              </w:numPr>
              <w:spacing w:line="360" w:lineRule="exact"/>
              <w:ind w:firstLine="560" w:firstLineChars="200"/>
              <w:jc w:val="both"/>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（1）隧道内混凝土结构导致电磁波多次反射严重，引发信号时延扩展和语音质量下降。</w:t>
            </w:r>
          </w:p>
          <w:p w14:paraId="1F27D235">
            <w:pPr>
              <w:pStyle w:val="23"/>
              <w:widowControl w:val="0"/>
              <w:numPr>
                <w:ilvl w:val="0"/>
                <w:numId w:val="0"/>
              </w:numPr>
              <w:spacing w:line="360" w:lineRule="exact"/>
              <w:ind w:firstLine="560" w:firstLineChars="200"/>
              <w:jc w:val="both"/>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（2）特长隧道长距离传输导致信号衰减。</w:t>
            </w:r>
          </w:p>
          <w:p w14:paraId="488ED279">
            <w:pPr>
              <w:pStyle w:val="23"/>
              <w:widowControl w:val="0"/>
              <w:numPr>
                <w:ilvl w:val="0"/>
                <w:numId w:val="0"/>
              </w:numPr>
              <w:spacing w:line="360" w:lineRule="exact"/>
              <w:ind w:firstLine="560" w:firstLineChars="200"/>
              <w:jc w:val="both"/>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（3）车辆引擎、照明设备、4G/5G公网等产生强电磁干扰，影响整体网络。</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01D80706">
            <w:pPr>
              <w:pStyle w:val="23"/>
              <w:widowControl w:val="0"/>
              <w:numPr>
                <w:ilvl w:val="0"/>
                <w:numId w:val="0"/>
              </w:numPr>
              <w:spacing w:line="360" w:lineRule="exact"/>
              <w:ind w:firstLine="560" w:firstLineChars="200"/>
              <w:jc w:val="both"/>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我国公路随着信息化建设的快速推进，如何保障在复杂环境下公路隧道的通讯有效性、实时性、准确性变得尤为重要。</w:t>
            </w:r>
            <w:r>
              <w:rPr>
                <w:rFonts w:hint="default" w:ascii="仿宋" w:hAnsi="仿宋" w:eastAsia="仿宋" w:cs="宋体"/>
                <w:kern w:val="2"/>
                <w:sz w:val="28"/>
                <w:szCs w:val="28"/>
                <w:lang w:val="en-US" w:eastAsia="zh-CN" w:bidi="ar-SA"/>
              </w:rPr>
              <w:t>公路隧道无线通信自组网技术的应用具有显著的现实意义。在隧道这一特殊环境中，传统通信方式往往存在覆盖盲区、响应延迟等问题，而自组网技术能够有效弥补这些不足，为交通安全和运营管理提供有力支撑。通过</w:t>
            </w:r>
            <w:r>
              <w:rPr>
                <w:rFonts w:hint="eastAsia" w:ascii="仿宋" w:hAnsi="仿宋" w:eastAsia="仿宋" w:cs="宋体"/>
                <w:kern w:val="2"/>
                <w:sz w:val="28"/>
                <w:szCs w:val="28"/>
                <w:lang w:val="en-US" w:eastAsia="zh-CN" w:bidi="ar-SA"/>
              </w:rPr>
              <w:t>公路隧道无线通讯自组网</w:t>
            </w:r>
            <w:r>
              <w:rPr>
                <w:rFonts w:hint="default" w:ascii="仿宋" w:hAnsi="仿宋" w:eastAsia="仿宋" w:cs="宋体"/>
                <w:kern w:val="2"/>
                <w:sz w:val="28"/>
                <w:szCs w:val="28"/>
                <w:lang w:val="en-US" w:eastAsia="zh-CN" w:bidi="ar-SA"/>
              </w:rPr>
              <w:t>关键技术，不仅能实现隧道内无死角通信覆盖，更能提升应急响应速度和运营管理智能化水平。</w:t>
            </w:r>
          </w:p>
          <w:p w14:paraId="7AF8EFC2">
            <w:pPr>
              <w:pStyle w:val="23"/>
              <w:widowControl w:val="0"/>
              <w:numPr>
                <w:ilvl w:val="0"/>
                <w:numId w:val="0"/>
              </w:numPr>
              <w:spacing w:line="360" w:lineRule="exact"/>
              <w:ind w:firstLine="560" w:firstLineChars="200"/>
              <w:jc w:val="both"/>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同时，我国也高度重</w:t>
            </w:r>
            <w:r>
              <w:rPr>
                <w:rFonts w:hint="eastAsia" w:ascii="仿宋" w:hAnsi="仿宋" w:eastAsia="仿宋" w:cs="宋体"/>
                <w:kern w:val="2"/>
                <w:sz w:val="28"/>
                <w:szCs w:val="28"/>
                <w:lang w:val="en-US" w:eastAsia="zh-CN" w:bidi="ar-SA"/>
              </w:rPr>
              <w:t>高速公路信息化</w:t>
            </w:r>
            <w:r>
              <w:rPr>
                <w:rFonts w:hint="default" w:ascii="仿宋" w:hAnsi="仿宋" w:eastAsia="仿宋" w:cs="宋体"/>
                <w:kern w:val="2"/>
                <w:sz w:val="28"/>
                <w:szCs w:val="28"/>
                <w:lang w:val="en-US" w:eastAsia="zh-CN" w:bidi="ar-SA"/>
              </w:rPr>
              <w:t>的发展，连续出台了一系列相关政策，包括《</w:t>
            </w:r>
            <w:r>
              <w:rPr>
                <w:rFonts w:hint="eastAsia" w:ascii="仿宋" w:hAnsi="仿宋" w:eastAsia="仿宋" w:cs="宋体"/>
                <w:kern w:val="2"/>
                <w:sz w:val="28"/>
                <w:szCs w:val="28"/>
                <w:lang w:val="zh-CN" w:eastAsia="zh-CN" w:bidi="ar-SA"/>
              </w:rPr>
              <w:t>交通强国建设纲要</w:t>
            </w:r>
            <w:r>
              <w:rPr>
                <w:rFonts w:hint="default" w:ascii="仿宋" w:hAnsi="仿宋" w:eastAsia="仿宋" w:cs="宋体"/>
                <w:kern w:val="2"/>
                <w:sz w:val="28"/>
                <w:szCs w:val="28"/>
                <w:lang w:val="en-US" w:eastAsia="zh-CN" w:bidi="ar-SA"/>
              </w:rPr>
              <w:t>》</w:t>
            </w:r>
            <w:r>
              <w:rPr>
                <w:rFonts w:hint="eastAsia" w:ascii="仿宋" w:hAnsi="仿宋" w:eastAsia="仿宋" w:cs="宋体"/>
                <w:kern w:val="2"/>
                <w:sz w:val="28"/>
                <w:szCs w:val="28"/>
                <w:lang w:val="en-US" w:eastAsia="zh-CN" w:bidi="ar-SA"/>
              </w:rPr>
              <w:t>、</w:t>
            </w:r>
            <w:r>
              <w:rPr>
                <w:rFonts w:hint="default" w:ascii="仿宋" w:hAnsi="仿宋" w:eastAsia="仿宋" w:cs="宋体"/>
                <w:kern w:val="2"/>
                <w:sz w:val="28"/>
                <w:szCs w:val="28"/>
                <w:lang w:val="en-US" w:eastAsia="zh-CN" w:bidi="ar-SA"/>
              </w:rPr>
              <w:t>《</w:t>
            </w:r>
            <w:r>
              <w:rPr>
                <w:rFonts w:hint="eastAsia" w:ascii="仿宋" w:hAnsi="仿宋" w:eastAsia="仿宋" w:cs="宋体"/>
                <w:kern w:val="2"/>
                <w:sz w:val="28"/>
                <w:szCs w:val="28"/>
                <w:lang w:val="zh-CN" w:eastAsia="zh-CN" w:bidi="ar-SA"/>
              </w:rPr>
              <w:t>“十四五”现代综合交通运输体系发展规划</w:t>
            </w:r>
            <w:r>
              <w:rPr>
                <w:rFonts w:hint="default" w:ascii="仿宋" w:hAnsi="仿宋" w:eastAsia="仿宋" w:cs="宋体"/>
                <w:kern w:val="2"/>
                <w:sz w:val="28"/>
                <w:szCs w:val="28"/>
                <w:lang w:val="en-US" w:eastAsia="zh-CN" w:bidi="ar-SA"/>
              </w:rPr>
              <w:t>》</w:t>
            </w:r>
            <w:r>
              <w:rPr>
                <w:rFonts w:hint="eastAsia" w:ascii="仿宋" w:hAnsi="仿宋" w:eastAsia="仿宋" w:cs="宋体"/>
                <w:kern w:val="2"/>
                <w:sz w:val="28"/>
                <w:szCs w:val="28"/>
                <w:lang w:val="en-US" w:eastAsia="zh-CN" w:bidi="ar-SA"/>
              </w:rPr>
              <w:t>和《</w:t>
            </w:r>
            <w:r>
              <w:rPr>
                <w:rFonts w:hint="eastAsia" w:ascii="仿宋" w:hAnsi="仿宋" w:eastAsia="仿宋" w:cs="宋体"/>
                <w:kern w:val="2"/>
                <w:sz w:val="28"/>
                <w:szCs w:val="28"/>
                <w:lang w:val="zh-CN" w:eastAsia="zh-CN" w:bidi="ar-SA"/>
              </w:rPr>
              <w:t>关于推进公路数字化转型加快智慧公路建设发展的意见</w:t>
            </w:r>
            <w:r>
              <w:rPr>
                <w:rFonts w:hint="eastAsia" w:ascii="仿宋" w:hAnsi="仿宋" w:eastAsia="仿宋" w:cs="宋体"/>
                <w:kern w:val="2"/>
                <w:sz w:val="28"/>
                <w:szCs w:val="28"/>
                <w:lang w:val="en-US" w:eastAsia="zh-CN" w:bidi="ar-SA"/>
              </w:rPr>
              <w:t>》</w:t>
            </w:r>
            <w:r>
              <w:rPr>
                <w:rFonts w:hint="default" w:ascii="仿宋" w:hAnsi="仿宋" w:eastAsia="仿宋" w:cs="宋体"/>
                <w:kern w:val="2"/>
                <w:sz w:val="28"/>
                <w:szCs w:val="28"/>
                <w:lang w:val="en-US" w:eastAsia="zh-CN" w:bidi="ar-SA"/>
              </w:rPr>
              <w:t>等文件，推动制定行业相关规范和标准，充分体现了政府对</w:t>
            </w:r>
            <w:r>
              <w:rPr>
                <w:rFonts w:hint="eastAsia" w:ascii="仿宋" w:hAnsi="仿宋" w:eastAsia="仿宋" w:cs="宋体"/>
                <w:kern w:val="2"/>
                <w:sz w:val="28"/>
                <w:szCs w:val="28"/>
                <w:lang w:val="en-US" w:eastAsia="zh-CN" w:bidi="ar-SA"/>
              </w:rPr>
              <w:t>高速公路信息化</w:t>
            </w:r>
            <w:r>
              <w:rPr>
                <w:rFonts w:hint="default" w:ascii="仿宋" w:hAnsi="仿宋" w:eastAsia="仿宋" w:cs="宋体"/>
                <w:kern w:val="2"/>
                <w:sz w:val="28"/>
                <w:szCs w:val="28"/>
                <w:lang w:val="en-US" w:eastAsia="zh-CN" w:bidi="ar-SA"/>
              </w:rPr>
              <w:t>的全面支持和引导。</w:t>
            </w:r>
          </w:p>
          <w:p w14:paraId="4D9E117B">
            <w:pPr>
              <w:pStyle w:val="23"/>
              <w:widowControl w:val="0"/>
              <w:numPr>
                <w:ilvl w:val="0"/>
                <w:numId w:val="0"/>
              </w:numPr>
              <w:spacing w:line="360" w:lineRule="exact"/>
              <w:ind w:firstLine="560" w:firstLineChars="200"/>
              <w:jc w:val="both"/>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在上述政策引导和支持下，</w:t>
            </w:r>
            <w:r>
              <w:rPr>
                <w:rFonts w:hint="eastAsia" w:ascii="仿宋" w:hAnsi="仿宋" w:eastAsia="仿宋" w:cs="宋体"/>
                <w:kern w:val="2"/>
                <w:sz w:val="28"/>
                <w:szCs w:val="28"/>
                <w:lang w:val="en-US" w:eastAsia="zh-CN" w:bidi="ar-SA"/>
              </w:rPr>
              <w:t>无线通讯</w:t>
            </w:r>
            <w:r>
              <w:rPr>
                <w:rFonts w:hint="default" w:ascii="仿宋" w:hAnsi="仿宋" w:eastAsia="仿宋" w:cs="宋体"/>
                <w:kern w:val="2"/>
                <w:sz w:val="28"/>
                <w:szCs w:val="28"/>
                <w:lang w:val="en-US" w:eastAsia="zh-CN" w:bidi="ar-SA"/>
              </w:rPr>
              <w:t>自组网技术将加速普及。其低成本、高可靠特性，使其成为破解隧道通信“孤岛效应”的核心方案，预计未来三年市场渗透率将突破60%。</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771593B0">
            <w:pPr>
              <w:pStyle w:val="23"/>
              <w:widowControl w:val="0"/>
              <w:numPr>
                <w:ilvl w:val="0"/>
                <w:numId w:val="0"/>
              </w:numPr>
              <w:spacing w:line="360" w:lineRule="exact"/>
              <w:ind w:firstLine="560" w:firstLineChars="200"/>
              <w:jc w:val="both"/>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（1）复杂电磁环境下的信号传输：隧道混凝土结构导致电磁波多次反射，弯道/竖井形成通信盲区。</w:t>
            </w:r>
          </w:p>
          <w:p w14:paraId="4A5FD701">
            <w:pPr>
              <w:pStyle w:val="23"/>
              <w:widowControl w:val="0"/>
              <w:numPr>
                <w:ilvl w:val="0"/>
                <w:numId w:val="0"/>
              </w:numPr>
              <w:spacing w:line="360" w:lineRule="exact"/>
              <w:ind w:firstLine="560" w:firstLineChars="200"/>
              <w:jc w:val="both"/>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（2）无中心自组成网：支持如点对多点、链状、网状、混合等任意网络拓扑结构</w:t>
            </w:r>
            <w:r>
              <w:rPr>
                <w:rFonts w:hint="default" w:ascii="仿宋" w:hAnsi="仿宋" w:eastAsia="仿宋" w:cs="宋体"/>
                <w:kern w:val="2"/>
                <w:sz w:val="28"/>
                <w:szCs w:val="28"/>
                <w:lang w:val="en-US" w:eastAsia="zh-CN" w:bidi="ar-SA"/>
              </w:rPr>
              <w:t> </w:t>
            </w:r>
            <w:r>
              <w:rPr>
                <w:rFonts w:hint="eastAsia" w:ascii="仿宋" w:hAnsi="仿宋" w:eastAsia="仿宋" w:cs="宋体"/>
                <w:kern w:val="2"/>
                <w:sz w:val="28"/>
                <w:szCs w:val="28"/>
                <w:lang w:val="en-US" w:eastAsia="zh-CN" w:bidi="ar-SA"/>
              </w:rPr>
              <w:t>。</w:t>
            </w:r>
          </w:p>
          <w:p w14:paraId="31CC7F18">
            <w:pPr>
              <w:pStyle w:val="23"/>
              <w:widowControl w:val="0"/>
              <w:numPr>
                <w:ilvl w:val="0"/>
                <w:numId w:val="0"/>
              </w:numPr>
              <w:spacing w:line="360" w:lineRule="exact"/>
              <w:ind w:firstLine="560" w:firstLineChars="200"/>
              <w:jc w:val="both"/>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（3）极端环境适应性：需满足-40℃~85℃工作温度（GB/T 2423.1标准）及95%湿度环境，需抵御隧道照明系统（1-3MHz干扰）及公网频段冲突、高速行驶车辆影响。</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59348A08">
            <w:pPr>
              <w:spacing w:line="360" w:lineRule="exact"/>
              <w:ind w:left="0" w:leftChars="0"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建立</w:t>
            </w:r>
            <w:r>
              <w:rPr>
                <w:rFonts w:hint="eastAsia" w:ascii="仿宋" w:hAnsi="仿宋" w:eastAsia="仿宋" w:cs="宋体"/>
                <w:kern w:val="2"/>
                <w:sz w:val="28"/>
                <w:szCs w:val="28"/>
                <w:lang w:val="en-US" w:eastAsia="zh-CN" w:bidi="ar-SA"/>
              </w:rPr>
              <w:t>公路隧道无线通讯自组网的体系</w:t>
            </w:r>
            <w:r>
              <w:rPr>
                <w:rFonts w:hint="default" w:ascii="仿宋" w:hAnsi="仿宋" w:eastAsia="仿宋" w:cs="宋体"/>
                <w:kern w:val="2"/>
                <w:sz w:val="28"/>
                <w:szCs w:val="28"/>
                <w:lang w:val="en-US" w:eastAsia="zh-CN" w:bidi="ar-SA"/>
              </w:rPr>
              <w:t>，并在</w:t>
            </w:r>
            <w:r>
              <w:rPr>
                <w:rFonts w:hint="eastAsia" w:ascii="仿宋" w:hAnsi="仿宋" w:eastAsia="仿宋" w:cs="宋体"/>
                <w:kern w:val="2"/>
                <w:sz w:val="28"/>
                <w:szCs w:val="28"/>
                <w:lang w:val="en-US" w:eastAsia="zh-CN" w:bidi="ar-SA"/>
              </w:rPr>
              <w:t>公路隧道上</w:t>
            </w:r>
            <w:r>
              <w:rPr>
                <w:rFonts w:hint="default" w:ascii="仿宋" w:hAnsi="仿宋" w:eastAsia="仿宋" w:cs="宋体"/>
                <w:kern w:val="2"/>
                <w:sz w:val="28"/>
                <w:szCs w:val="28"/>
                <w:lang w:val="en-US" w:eastAsia="zh-CN" w:bidi="ar-SA"/>
              </w:rPr>
              <w:t>进行验证和应用。</w:t>
            </w:r>
            <w:r>
              <w:rPr>
                <w:rFonts w:hint="eastAsia" w:ascii="仿宋" w:hAnsi="仿宋" w:eastAsia="仿宋" w:cs="宋体"/>
                <w:kern w:val="2"/>
                <w:sz w:val="28"/>
                <w:szCs w:val="28"/>
                <w:lang w:val="en-US" w:eastAsia="zh-CN" w:bidi="ar-SA"/>
              </w:rPr>
              <w:t>在公路隧道通信的领域形成自主知识产权</w:t>
            </w:r>
            <w:r>
              <w:rPr>
                <w:rFonts w:hint="default" w:ascii="仿宋" w:hAnsi="仿宋" w:eastAsia="仿宋" w:cs="宋体"/>
                <w:kern w:val="2"/>
                <w:sz w:val="28"/>
                <w:szCs w:val="28"/>
                <w:lang w:val="en-US" w:eastAsia="zh-CN" w:bidi="ar-SA"/>
              </w:rPr>
              <w:t>，申请专利</w:t>
            </w:r>
            <w:r>
              <w:rPr>
                <w:rFonts w:hint="eastAsia" w:ascii="仿宋" w:hAnsi="仿宋" w:eastAsia="仿宋" w:cs="宋体"/>
                <w:kern w:val="2"/>
                <w:sz w:val="28"/>
                <w:szCs w:val="28"/>
                <w:lang w:val="en-US" w:eastAsia="zh-CN" w:bidi="ar-SA"/>
              </w:rPr>
              <w:t>≥2</w:t>
            </w:r>
            <w:r>
              <w:rPr>
                <w:rFonts w:hint="default" w:ascii="仿宋" w:hAnsi="仿宋" w:eastAsia="仿宋" w:cs="宋体"/>
                <w:kern w:val="2"/>
                <w:sz w:val="28"/>
                <w:szCs w:val="28"/>
                <w:lang w:val="en-US" w:eastAsia="zh-CN" w:bidi="ar-SA"/>
              </w:rPr>
              <w:t>项，软件著作权</w:t>
            </w:r>
            <w:r>
              <w:rPr>
                <w:rFonts w:hint="eastAsia" w:ascii="仿宋" w:hAnsi="仿宋" w:eastAsia="仿宋" w:cs="宋体"/>
                <w:kern w:val="2"/>
                <w:sz w:val="28"/>
                <w:szCs w:val="28"/>
                <w:lang w:val="en-US" w:eastAsia="zh-CN" w:bidi="ar-SA"/>
              </w:rPr>
              <w:t>≥</w:t>
            </w:r>
            <w:r>
              <w:rPr>
                <w:rFonts w:hint="default" w:ascii="仿宋" w:hAnsi="仿宋" w:eastAsia="仿宋" w:cs="宋体"/>
                <w:kern w:val="2"/>
                <w:sz w:val="28"/>
                <w:szCs w:val="28"/>
                <w:lang w:val="en-US" w:eastAsia="zh-CN" w:bidi="ar-SA"/>
              </w:rPr>
              <w:t>1项</w:t>
            </w:r>
            <w:r>
              <w:rPr>
                <w:rFonts w:hint="eastAsia" w:ascii="仿宋" w:hAnsi="仿宋" w:eastAsia="仿宋" w:cs="宋体"/>
                <w:kern w:val="2"/>
                <w:sz w:val="28"/>
                <w:szCs w:val="28"/>
                <w:lang w:val="en-US" w:eastAsia="zh-CN" w:bidi="ar-SA"/>
              </w:rPr>
              <w:t>。</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604B084D">
            <w:pPr>
              <w:spacing w:line="360" w:lineRule="exact"/>
              <w:ind w:left="0" w:leftChars="0"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在对当前</w:t>
            </w:r>
            <w:r>
              <w:rPr>
                <w:rFonts w:hint="eastAsia" w:ascii="仿宋" w:hAnsi="仿宋" w:eastAsia="仿宋" w:cs="宋体"/>
                <w:kern w:val="2"/>
                <w:sz w:val="28"/>
                <w:szCs w:val="28"/>
                <w:lang w:val="en-US" w:eastAsia="zh-CN" w:bidi="ar-SA"/>
              </w:rPr>
              <w:t>陕西省高速公路的对终南山隧道、天台山隧道等特长隧道通过4G网络、NB-Iot等传统通信方式实现了隧道环境监测设备的通讯</w:t>
            </w:r>
            <w:r>
              <w:rPr>
                <w:rFonts w:hint="default" w:ascii="仿宋" w:hAnsi="仿宋" w:eastAsia="仿宋" w:cs="宋体"/>
                <w:kern w:val="2"/>
                <w:sz w:val="28"/>
                <w:szCs w:val="28"/>
                <w:lang w:val="en-US" w:eastAsia="zh-CN" w:bidi="ar-SA"/>
              </w:rPr>
              <w:t>，相关工作的开展一方面验证了本项目的可行性，为本项目的后续工作开展提供了基础，而且显示了本项目的相关内容研究的紧迫性。</w:t>
            </w:r>
          </w:p>
          <w:p w14:paraId="5F4929F5">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5E807C0D">
            <w:pPr>
              <w:spacing w:line="360" w:lineRule="exact"/>
              <w:ind w:left="0" w:leftChars="0" w:firstLine="560" w:firstLineChars="200"/>
              <w:rPr>
                <w:rFonts w:hint="default" w:ascii="Times New Roman" w:hAnsi="Times New Roman" w:eastAsia="仿宋_GB2312"/>
                <w:kern w:val="0"/>
                <w:sz w:val="24"/>
                <w:highlight w:val="none"/>
                <w:lang w:val="en-US" w:eastAsia="zh-CN"/>
              </w:rPr>
            </w:pPr>
            <w:r>
              <w:rPr>
                <w:rFonts w:hint="eastAsia" w:ascii="仿宋" w:hAnsi="仿宋" w:eastAsia="仿宋" w:cs="宋体"/>
                <w:kern w:val="2"/>
                <w:sz w:val="28"/>
                <w:szCs w:val="28"/>
                <w:lang w:val="en-US" w:eastAsia="zh-CN" w:bidi="ar-SA"/>
              </w:rPr>
              <w:t>目前已经在部分特长隧道实现了4G、Lora、NB-Iot通讯组网实验，完成实验阶段数据采集，关键技术理论验证，正在进行技术选型阶段。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09BB7730">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已投入资金25万元</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21D08782">
            <w:pPr>
              <w:spacing w:line="360" w:lineRule="exact"/>
              <w:ind w:firstLine="560" w:firstLineChars="200"/>
              <w:rPr>
                <w:rFonts w:hint="eastAsia"/>
                <w:sz w:val="24"/>
              </w:rPr>
            </w:pPr>
            <w:r>
              <w:rPr>
                <w:rFonts w:hint="eastAsia" w:ascii="仿宋" w:hAnsi="仿宋" w:eastAsia="仿宋" w:cs="宋体"/>
                <w:kern w:val="2"/>
                <w:sz w:val="28"/>
                <w:szCs w:val="28"/>
                <w:lang w:val="en-US" w:eastAsia="zh-CN" w:bidi="ar-SA"/>
              </w:rPr>
              <w:t>拟与计算机科学与技术领域，长期从事高速公路通信或物联网技术相关的企业开展产学研合作。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82D6D"/>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454</Words>
  <Characters>476</Characters>
  <Lines>27</Lines>
  <Paragraphs>7</Paragraphs>
  <TotalTime>0</TotalTime>
  <ScaleCrop>false</ScaleCrop>
  <LinksUpToDate>false</LinksUpToDate>
  <CharactersWithSpaces>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2025-07-23T03:09:39Z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80707EECCCFE4D389F5A6BA7BA40E11B_13</vt:lpwstr>
  </property>
  <property fmtid="{D5CDD505-2E9C-101B-9397-08002B2CF9AE}" pid="4" name="KSOTemplateDocerSaveRecord">
    <vt:lpwstr>eyJoZGlkIjoiNTQ1YTcwOTc1ZDUxNTcwOGNiZjNiNTdiY2QzOTc1YTgiLCJ1c2VySWQiOiI5NjYxMjMwNzMifQ==</vt:lpwstr>
  </property>
</Properties>
</file>