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23EB63B">
      <w:pPr>
        <w:keepNext w:val="0"/>
        <w:keepLines w:val="0"/>
        <w:pageBreakBefore w:val="0"/>
        <w:widowControl w:val="0"/>
        <w:kinsoku/>
        <w:wordWrap/>
        <w:overflowPunct/>
        <w:topLinePunct w:val="0"/>
        <w:autoSpaceDE/>
        <w:autoSpaceDN/>
        <w:bidi w:val="0"/>
        <w:adjustRightInd/>
        <w:snapToGrid/>
        <w:spacing w:line="360" w:lineRule="exact"/>
        <w:ind w:firstLine="0" w:firstLineChars="0"/>
        <w:jc w:val="center"/>
        <w:textAlignment w:val="auto"/>
        <w:rPr>
          <w:rFonts w:hint="eastAsia" w:ascii="黑体" w:hAnsi="黑体" w:eastAsia="黑体"/>
          <w:b/>
          <w:bCs/>
          <w:kern w:val="0"/>
          <w:szCs w:val="32"/>
          <w:lang w:val="en-US" w:eastAsia="zh-CN"/>
        </w:rPr>
      </w:pPr>
      <w:bookmarkStart w:id="0" w:name="_Hlk75163998"/>
      <w:bookmarkStart w:id="1" w:name="_Hlk75163964"/>
      <w:r>
        <w:rPr>
          <w:rFonts w:hint="eastAsia" w:ascii="黑体" w:hAnsi="黑体" w:eastAsia="黑体"/>
          <w:b/>
          <w:bCs/>
          <w:kern w:val="0"/>
          <w:szCs w:val="32"/>
        </w:rPr>
        <w:t>1</w:t>
      </w:r>
      <w:r>
        <w:rPr>
          <w:rFonts w:hint="eastAsia" w:ascii="黑体" w:hAnsi="黑体" w:eastAsia="黑体"/>
          <w:b/>
          <w:bCs/>
          <w:kern w:val="0"/>
          <w:szCs w:val="32"/>
          <w:lang w:val="en-US" w:eastAsia="zh-CN"/>
        </w:rPr>
        <w:t>16</w:t>
      </w:r>
      <w:r>
        <w:rPr>
          <w:rFonts w:hint="eastAsia" w:ascii="黑体" w:hAnsi="黑体" w:eastAsia="黑体"/>
          <w:b/>
          <w:bCs/>
          <w:kern w:val="0"/>
          <w:szCs w:val="32"/>
        </w:rPr>
        <w:t>.</w:t>
      </w:r>
      <w:bookmarkEnd w:id="0"/>
      <w:r>
        <w:rPr>
          <w:rFonts w:hint="eastAsia" w:ascii="黑体" w:hAnsi="黑体" w:eastAsia="黑体"/>
          <w:b/>
          <w:bCs/>
          <w:kern w:val="0"/>
          <w:szCs w:val="32"/>
        </w:rPr>
        <w:t>新型航空螺旋桨发动机测试平台</w:t>
      </w:r>
      <w:r>
        <w:rPr>
          <w:rFonts w:hint="eastAsia" w:ascii="黑体" w:hAnsi="黑体" w:eastAsia="黑体"/>
          <w:b/>
          <w:bCs/>
          <w:kern w:val="0"/>
          <w:szCs w:val="32"/>
          <w:lang w:val="en-US" w:eastAsia="zh-CN"/>
        </w:rPr>
        <w:t>开发</w:t>
      </w:r>
    </w:p>
    <w:tbl>
      <w:tblPr>
        <w:tblStyle w:val="15"/>
        <w:tblW w:w="90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317"/>
        <w:gridCol w:w="2055"/>
        <w:gridCol w:w="2481"/>
      </w:tblGrid>
      <w:tr w14:paraId="75A56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tcPr>
          <w:p w14:paraId="6AE1DB42">
            <w:pPr>
              <w:spacing w:line="360" w:lineRule="exact"/>
              <w:ind w:firstLine="0" w:firstLineChars="0"/>
              <w:jc w:val="center"/>
              <w:rPr>
                <w:rFonts w:ascii="仿宋" w:hAnsi="仿宋" w:eastAsia="仿宋" w:cs="宋体"/>
                <w:sz w:val="28"/>
                <w:szCs w:val="28"/>
                <w:u w:val="single"/>
              </w:rPr>
            </w:pPr>
            <w:bookmarkStart w:id="2" w:name="_Hlk75163932"/>
            <w:r>
              <w:rPr>
                <w:rFonts w:hint="eastAsia" w:ascii="仿宋" w:hAnsi="仿宋" w:eastAsia="仿宋" w:cs="宋体"/>
                <w:b/>
                <w:bCs/>
                <w:sz w:val="28"/>
                <w:szCs w:val="28"/>
              </w:rPr>
              <w:t>单位信息</w:t>
            </w:r>
          </w:p>
        </w:tc>
      </w:tr>
      <w:tr w14:paraId="6EEFE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2186" w:type="dxa"/>
            <w:gridSpan w:val="3"/>
            <w:tcBorders>
              <w:top w:val="single" w:color="auto" w:sz="4" w:space="0"/>
              <w:left w:val="single" w:color="auto" w:sz="4" w:space="0"/>
              <w:bottom w:val="single" w:color="auto" w:sz="4" w:space="0"/>
              <w:right w:val="single" w:color="auto" w:sz="4" w:space="0"/>
            </w:tcBorders>
            <w:vAlign w:val="center"/>
          </w:tcPr>
          <w:p w14:paraId="66660749">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单位名称</w:t>
            </w:r>
          </w:p>
        </w:tc>
        <w:tc>
          <w:tcPr>
            <w:tcW w:w="6853" w:type="dxa"/>
            <w:gridSpan w:val="3"/>
            <w:tcBorders>
              <w:top w:val="single" w:color="auto" w:sz="4" w:space="0"/>
              <w:left w:val="single" w:color="auto" w:sz="4" w:space="0"/>
              <w:bottom w:val="single" w:color="auto" w:sz="4" w:space="0"/>
              <w:right w:val="single" w:color="auto" w:sz="4" w:space="0"/>
            </w:tcBorders>
            <w:vAlign w:val="center"/>
          </w:tcPr>
          <w:p w14:paraId="7332623E">
            <w:pPr>
              <w:spacing w:line="360" w:lineRule="exact"/>
              <w:ind w:firstLine="0" w:firstLineChars="0"/>
              <w:jc w:val="center"/>
              <w:rPr>
                <w:rFonts w:hint="eastAsia" w:ascii="仿宋" w:hAnsi="仿宋" w:eastAsia="仿宋" w:cs="宋体"/>
                <w:sz w:val="28"/>
                <w:szCs w:val="28"/>
                <w:lang w:eastAsia="zh-CN"/>
              </w:rPr>
            </w:pPr>
            <w:r>
              <w:rPr>
                <w:rFonts w:hint="eastAsia" w:ascii="仿宋" w:hAnsi="仿宋" w:eastAsia="仿宋" w:cs="宋体"/>
                <w:sz w:val="28"/>
                <w:szCs w:val="28"/>
                <w:lang w:val="en-US" w:eastAsia="zh-CN"/>
              </w:rPr>
              <w:t>陕西众科源泰动力科技有限公司</w:t>
            </w:r>
          </w:p>
        </w:tc>
      </w:tr>
      <w:tr w14:paraId="3C633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14:paraId="0451A375">
            <w:pPr>
              <w:spacing w:line="360" w:lineRule="exact"/>
              <w:ind w:firstLine="0" w:firstLineChars="0"/>
              <w:jc w:val="center"/>
              <w:rPr>
                <w:rFonts w:ascii="仿宋" w:hAnsi="仿宋" w:eastAsia="仿宋" w:cs="宋体"/>
                <w:sz w:val="28"/>
                <w:szCs w:val="28"/>
              </w:rPr>
            </w:pPr>
            <w:r>
              <w:rPr>
                <w:rFonts w:hint="eastAsia" w:ascii="仿宋" w:hAnsi="仿宋" w:eastAsia="仿宋" w:cs="宋体"/>
                <w:sz w:val="28"/>
                <w:szCs w:val="28"/>
              </w:rPr>
              <w:t>所属行业</w:t>
            </w:r>
          </w:p>
        </w:tc>
        <w:tc>
          <w:tcPr>
            <w:tcW w:w="2317" w:type="dxa"/>
            <w:tcBorders>
              <w:top w:val="single" w:color="auto" w:sz="4" w:space="0"/>
              <w:left w:val="single" w:color="auto" w:sz="4" w:space="0"/>
              <w:bottom w:val="single" w:color="auto" w:sz="4" w:space="0"/>
              <w:right w:val="single" w:color="auto" w:sz="4" w:space="0"/>
            </w:tcBorders>
            <w:vAlign w:val="center"/>
          </w:tcPr>
          <w:p w14:paraId="4AF86917">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制造业</w:t>
            </w:r>
          </w:p>
        </w:tc>
        <w:tc>
          <w:tcPr>
            <w:tcW w:w="2055" w:type="dxa"/>
            <w:tcBorders>
              <w:top w:val="single" w:color="auto" w:sz="4" w:space="0"/>
              <w:left w:val="single" w:color="auto" w:sz="4" w:space="0"/>
              <w:bottom w:val="single" w:color="auto" w:sz="4" w:space="0"/>
              <w:right w:val="single" w:color="auto" w:sz="4" w:space="0"/>
            </w:tcBorders>
            <w:vAlign w:val="center"/>
          </w:tcPr>
          <w:p w14:paraId="36E469ED">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rPr>
              <w:t>技术领域</w:t>
            </w:r>
          </w:p>
        </w:tc>
        <w:tc>
          <w:tcPr>
            <w:tcW w:w="2481" w:type="dxa"/>
            <w:tcBorders>
              <w:top w:val="single" w:color="auto" w:sz="4" w:space="0"/>
              <w:left w:val="single" w:color="auto" w:sz="4" w:space="0"/>
              <w:bottom w:val="single" w:color="auto" w:sz="4" w:space="0"/>
              <w:right w:val="single" w:color="auto" w:sz="4" w:space="0"/>
            </w:tcBorders>
            <w:vAlign w:val="center"/>
          </w:tcPr>
          <w:p w14:paraId="73C08961">
            <w:pPr>
              <w:spacing w:line="360" w:lineRule="exact"/>
              <w:ind w:firstLine="0" w:firstLineChars="0"/>
              <w:jc w:val="center"/>
              <w:rPr>
                <w:rFonts w:hint="eastAsia" w:ascii="仿宋" w:hAnsi="仿宋" w:eastAsia="仿宋" w:cs="宋体"/>
                <w:sz w:val="28"/>
                <w:szCs w:val="28"/>
              </w:rPr>
            </w:pPr>
            <w:r>
              <w:rPr>
                <w:rFonts w:hint="eastAsia" w:ascii="仿宋" w:hAnsi="仿宋" w:eastAsia="仿宋" w:cs="宋体"/>
                <w:sz w:val="28"/>
                <w:szCs w:val="28"/>
                <w:lang w:val="en-US" w:eastAsia="zh-CN"/>
              </w:rPr>
              <w:t>先进制造与自动化</w:t>
            </w:r>
          </w:p>
        </w:tc>
      </w:tr>
      <w:tr w14:paraId="46AE3B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9" w:type="dxa"/>
            <w:gridSpan w:val="6"/>
            <w:tcBorders>
              <w:top w:val="single" w:color="auto" w:sz="4" w:space="0"/>
              <w:left w:val="single" w:color="auto" w:sz="4" w:space="0"/>
              <w:bottom w:val="single" w:color="auto" w:sz="4" w:space="0"/>
              <w:right w:val="single" w:color="auto" w:sz="4" w:space="0"/>
            </w:tcBorders>
            <w:vAlign w:val="center"/>
          </w:tcPr>
          <w:p w14:paraId="455E1DE9">
            <w:pPr>
              <w:spacing w:line="360" w:lineRule="exact"/>
              <w:ind w:firstLine="0" w:firstLineChars="0"/>
              <w:jc w:val="center"/>
              <w:rPr>
                <w:rFonts w:ascii="仿宋" w:hAnsi="仿宋" w:eastAsia="仿宋"/>
                <w:kern w:val="0"/>
                <w:sz w:val="28"/>
                <w:szCs w:val="28"/>
              </w:rPr>
            </w:pPr>
            <w:r>
              <w:rPr>
                <w:rFonts w:hint="eastAsia" w:ascii="仿宋" w:hAnsi="仿宋" w:eastAsia="仿宋" w:cs="宋体"/>
                <w:b/>
                <w:bCs/>
                <w:sz w:val="28"/>
                <w:szCs w:val="28"/>
              </w:rPr>
              <w:t>需求信息</w:t>
            </w:r>
          </w:p>
        </w:tc>
      </w:tr>
      <w:tr w14:paraId="0CA2B5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14:paraId="25361E5F">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14:paraId="2837E72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需求类别</w:t>
            </w:r>
          </w:p>
        </w:tc>
        <w:tc>
          <w:tcPr>
            <w:tcW w:w="7533" w:type="dxa"/>
            <w:gridSpan w:val="4"/>
            <w:tcBorders>
              <w:top w:val="single" w:color="auto" w:sz="4" w:space="0"/>
              <w:left w:val="nil"/>
              <w:bottom w:val="single" w:color="auto" w:sz="4" w:space="0"/>
              <w:right w:val="single" w:color="auto" w:sz="4" w:space="0"/>
            </w:tcBorders>
            <w:vAlign w:val="center"/>
          </w:tcPr>
          <w:p w14:paraId="03AB5EF8">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■技术研发（关键、核心技术）</w:t>
            </w:r>
          </w:p>
          <w:p w14:paraId="6067127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□产品研发（产品升级、新产品研发）</w:t>
            </w:r>
          </w:p>
          <w:p w14:paraId="6D3CCFF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□技术改造（设备、研发生产条件）</w:t>
            </w:r>
          </w:p>
          <w:p w14:paraId="510374BF">
            <w:pPr>
              <w:spacing w:line="360" w:lineRule="exact"/>
              <w:ind w:firstLine="0" w:firstLineChars="0"/>
              <w:rPr>
                <w:rFonts w:ascii="仿宋" w:hAnsi="仿宋" w:eastAsia="仿宋" w:cs="宋体"/>
                <w:kern w:val="0"/>
                <w:sz w:val="28"/>
                <w:szCs w:val="28"/>
              </w:rPr>
            </w:pPr>
            <w:r>
              <w:rPr>
                <w:rFonts w:hint="eastAsia" w:ascii="仿宋" w:hAnsi="仿宋" w:eastAsia="仿宋" w:cs="宋体"/>
                <w:sz w:val="28"/>
                <w:szCs w:val="28"/>
              </w:rPr>
              <w:t>□技术配套（技术、产品等配套合作）</w:t>
            </w:r>
          </w:p>
        </w:tc>
      </w:tr>
      <w:tr w14:paraId="250F2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6" w:hRule="atLeast"/>
        </w:trPr>
        <w:tc>
          <w:tcPr>
            <w:tcW w:w="630" w:type="dxa"/>
            <w:vMerge w:val="continue"/>
            <w:tcBorders>
              <w:left w:val="single" w:color="auto" w:sz="4" w:space="0"/>
              <w:right w:val="single" w:color="auto" w:sz="4" w:space="0"/>
            </w:tcBorders>
            <w:vAlign w:val="center"/>
          </w:tcPr>
          <w:p w14:paraId="59256152">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0A137D8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需求</w:t>
            </w:r>
          </w:p>
          <w:p w14:paraId="28C4603E">
            <w:pPr>
              <w:spacing w:line="360" w:lineRule="exact"/>
              <w:ind w:firstLine="0" w:firstLineChars="0"/>
              <w:jc w:val="center"/>
              <w:rPr>
                <w:rFonts w:hint="eastAsia" w:ascii="仿宋" w:hAnsi="仿宋" w:eastAsia="仿宋" w:cs="宋体"/>
                <w:kern w:val="0"/>
                <w:sz w:val="28"/>
                <w:szCs w:val="28"/>
              </w:rPr>
            </w:pPr>
            <w:r>
              <w:rPr>
                <w:rFonts w:hint="eastAsia" w:ascii="仿宋" w:hAnsi="仿宋" w:eastAsia="仿宋" w:cs="宋体"/>
                <w:kern w:val="0"/>
                <w:sz w:val="28"/>
                <w:szCs w:val="28"/>
              </w:rPr>
              <w:t>内容</w:t>
            </w:r>
          </w:p>
        </w:tc>
        <w:tc>
          <w:tcPr>
            <w:tcW w:w="7533" w:type="dxa"/>
            <w:gridSpan w:val="4"/>
            <w:tcBorders>
              <w:top w:val="single" w:color="auto" w:sz="4" w:space="0"/>
              <w:left w:val="nil"/>
              <w:bottom w:val="single" w:color="auto" w:sz="4" w:space="0"/>
              <w:right w:val="single" w:color="auto" w:sz="4" w:space="0"/>
            </w:tcBorders>
          </w:tcPr>
          <w:p w14:paraId="76F7E36C">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需求解决的技术问题</w:t>
            </w:r>
          </w:p>
          <w:p w14:paraId="34B24571">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现有航空螺旋桨发动机测试平台存在以下技术问题：</w:t>
            </w:r>
          </w:p>
          <w:p w14:paraId="7733113C">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（1）参数采集不全面：无法覆盖转速、扭矩、拉力、多路温度及环境信息等多维度高</w:t>
            </w:r>
            <w:bookmarkStart w:id="3" w:name="_GoBack"/>
            <w:bookmarkEnd w:id="3"/>
            <w:r>
              <w:rPr>
                <w:rFonts w:hint="eastAsia" w:ascii="仿宋" w:hAnsi="仿宋" w:eastAsia="仿宋" w:cs="宋体"/>
                <w:kern w:val="2"/>
                <w:sz w:val="28"/>
                <w:szCs w:val="28"/>
                <w:lang w:val="en-US" w:eastAsia="zh-CN" w:bidi="ar-SA"/>
              </w:rPr>
              <w:t>频数据采集，精度不足。</w:t>
            </w:r>
          </w:p>
          <w:p w14:paraId="2D1AD18E">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（2）数据实时性不足：数据同步延迟普遍较高（国外平台普遍 20ms以上，国内未明确但存在欠缺），难以满足动态性能测试中瞬态响应要求。</w:t>
            </w:r>
          </w:p>
          <w:p w14:paraId="185D8664">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（3）测试场景单一：传统平台仅支持地面静态测试，无法兼容高原、风洞等复杂环境，且对定距与变距螺旋桨发动机的动态性能评估能力不足。</w:t>
            </w:r>
          </w:p>
          <w:p w14:paraId="3C580F1B">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（4）自动化与智能化程度低：依赖人工操作，缺乏智能故障预测、性能诊断及全自动化测试流程，测试效率与可靠性较低。</w:t>
            </w:r>
          </w:p>
          <w:p w14:paraId="312F0B68">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（5）结构与环境适应性差：机械结构在极端温度、振动及风洞气动条件下易发生形变，难以保证长期连续运行（≥100小时）的稳定性。</w:t>
            </w:r>
          </w:p>
          <w:p w14:paraId="02AA09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技术需求提出背景及技术应用领域</w:t>
            </w:r>
          </w:p>
          <w:p w14:paraId="2B1A5561">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default" w:ascii="仿宋" w:hAnsi="仿宋" w:eastAsia="仿宋" w:cs="宋体"/>
                <w:kern w:val="2"/>
                <w:sz w:val="28"/>
                <w:szCs w:val="28"/>
                <w:lang w:val="en-US" w:eastAsia="zh-CN" w:bidi="ar-SA"/>
              </w:rPr>
              <w:t>随着无人机、通用航空及区域运输航空产业的快速发展，小型航空发动机（小航发）及螺旋桨系统技术革新不断加速。这一趋势对测试平台的多功能性、高精度和适应性提出了更高要求。传统测试平台在参数采集、实时性、场景覆盖及智能化等方面存在明显短板，已难以满足新能源动力（电动/混合动力）发动机研发和市场竞争的实际需求。在此背景下，我国航空工业正加速向高效、智能、绿色方向转型升级，迫切需要突破核心测试技术瓶颈，从而为航空动力技术的创新突破提供坚实支撑。该技术目前已可广泛应用于以下领域：</w:t>
            </w:r>
          </w:p>
          <w:p w14:paraId="7AFE174E">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w:t>
            </w:r>
            <w:r>
              <w:rPr>
                <w:rFonts w:hint="default" w:ascii="仿宋" w:hAnsi="仿宋" w:eastAsia="仿宋" w:cs="宋体"/>
                <w:kern w:val="2"/>
                <w:sz w:val="28"/>
                <w:szCs w:val="28"/>
                <w:lang w:val="en-US" w:eastAsia="zh-CN" w:bidi="ar-SA"/>
              </w:rPr>
              <w:t>航空发动机研发：适用于小型航空发动机（含电动/混合动力）及螺旋桨系统的稳态与动态性能测试。</w:t>
            </w:r>
          </w:p>
          <w:p w14:paraId="4739E7EE">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w:t>
            </w:r>
            <w:r>
              <w:rPr>
                <w:rFonts w:hint="default" w:ascii="仿宋" w:hAnsi="仿宋" w:eastAsia="仿宋" w:cs="宋体"/>
                <w:kern w:val="2"/>
                <w:sz w:val="28"/>
                <w:szCs w:val="28"/>
                <w:lang w:val="en-US" w:eastAsia="zh-CN" w:bidi="ar-SA"/>
              </w:rPr>
              <w:t>多场景测试环境：地面、高原（海拔 0-5000m）、风洞（风速0-60m/s）等复杂环境下的性能评估。</w:t>
            </w:r>
          </w:p>
          <w:p w14:paraId="32853CC9">
            <w:pPr>
              <w:pStyle w:val="23"/>
              <w:numPr>
                <w:ilvl w:val="0"/>
                <w:numId w:val="0"/>
              </w:numPr>
              <w:spacing w:line="360" w:lineRule="exact"/>
              <w:ind w:firstLine="560" w:firstLineChars="200"/>
              <w:rPr>
                <w:rFonts w:hint="default" w:ascii="Times New Roman" w:hAnsi="Times New Roman" w:eastAsia="仿宋_GB2312" w:cstheme="minorBidi"/>
                <w:kern w:val="2"/>
                <w:sz w:val="24"/>
                <w:szCs w:val="22"/>
                <w:lang w:val="en-US" w:eastAsia="zh-CN" w:bidi="ar-SA"/>
              </w:rPr>
            </w:pPr>
            <w:r>
              <w:rPr>
                <w:rFonts w:hint="eastAsia" w:ascii="仿宋" w:hAnsi="仿宋" w:eastAsia="仿宋" w:cs="宋体"/>
                <w:kern w:val="2"/>
                <w:sz w:val="28"/>
                <w:szCs w:val="28"/>
                <w:lang w:val="en-US" w:eastAsia="zh-CN" w:bidi="ar-SA"/>
              </w:rPr>
              <w:t>（3）</w:t>
            </w:r>
            <w:r>
              <w:rPr>
                <w:rFonts w:hint="default" w:ascii="仿宋" w:hAnsi="仿宋" w:eastAsia="仿宋" w:cs="宋体"/>
                <w:kern w:val="2"/>
                <w:sz w:val="28"/>
                <w:szCs w:val="28"/>
                <w:lang w:val="en-US" w:eastAsia="zh-CN" w:bidi="ar-SA"/>
              </w:rPr>
              <w:t>行业覆盖：无人机、通用航空、区域运输航空等领域的发动机测试与优化。</w:t>
            </w:r>
          </w:p>
          <w:p w14:paraId="761EB3A1">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技术难点</w:t>
            </w:r>
          </w:p>
          <w:p w14:paraId="7EDE8D15">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w:t>
            </w:r>
            <w:r>
              <w:rPr>
                <w:rFonts w:hint="default" w:ascii="仿宋" w:hAnsi="仿宋" w:eastAsia="仿宋" w:cs="宋体"/>
                <w:kern w:val="2"/>
                <w:sz w:val="28"/>
                <w:szCs w:val="28"/>
                <w:lang w:val="en-US" w:eastAsia="zh-CN" w:bidi="ar-SA"/>
              </w:rPr>
              <w:t>多维度参数高精度解耦与集成：需实现转速、扭矩、拉力等关键参数的高精度解耦，集成多种传感器（光电、应变、压电式等），并保证数据采集精度（关键参数误差≤0.3%）和同步性（延迟≤8ms）。</w:t>
            </w:r>
          </w:p>
          <w:p w14:paraId="3F937955">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w:t>
            </w:r>
            <w:r>
              <w:rPr>
                <w:rFonts w:hint="default" w:ascii="仿宋" w:hAnsi="仿宋" w:eastAsia="仿宋" w:cs="宋体"/>
                <w:kern w:val="2"/>
                <w:sz w:val="28"/>
                <w:szCs w:val="28"/>
                <w:lang w:val="en-US" w:eastAsia="zh-CN" w:bidi="ar-SA"/>
              </w:rPr>
              <w:t>多场景环境适应性设计：机械结构需采用零形变设计（形变≤0.05mm），适应极端温度（-40℃至60℃）、振动及风洞气动条件，确保长期运行稳定性（≥100小时）。</w:t>
            </w:r>
          </w:p>
          <w:p w14:paraId="23ECC4B3">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w:t>
            </w:r>
            <w:r>
              <w:rPr>
                <w:rFonts w:hint="default" w:ascii="仿宋" w:hAnsi="仿宋" w:eastAsia="仿宋" w:cs="宋体"/>
                <w:kern w:val="2"/>
                <w:sz w:val="28"/>
                <w:szCs w:val="28"/>
                <w:lang w:val="en-US" w:eastAsia="zh-CN" w:bidi="ar-SA"/>
              </w:rPr>
              <w:t>智能测控与自动化技术：开发100%自动化测试流程，集成卡尔曼滤波、贝叶斯估计等智能算法，实现故障预测准确率≥96%，人工干预率≤3%。</w:t>
            </w:r>
          </w:p>
          <w:p w14:paraId="75F267A8">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（4）</w:t>
            </w:r>
            <w:r>
              <w:rPr>
                <w:rFonts w:hint="default" w:ascii="仿宋" w:hAnsi="仿宋" w:eastAsia="仿宋" w:cs="宋体"/>
                <w:kern w:val="2"/>
                <w:sz w:val="28"/>
                <w:szCs w:val="28"/>
                <w:lang w:val="en-US" w:eastAsia="zh-CN" w:bidi="ar-SA"/>
              </w:rPr>
              <w:t>高速数据采集与处理：基于CAN总线与高速DAQ板卡，支持20路传感器信号同步采集，采集频率≥100Hz，满足动态测试中高频数据处理需求</w:t>
            </w:r>
            <w:r>
              <w:rPr>
                <w:rFonts w:hint="eastAsia" w:ascii="仿宋" w:hAnsi="仿宋" w:eastAsia="仿宋" w:cs="宋体"/>
                <w:kern w:val="2"/>
                <w:sz w:val="28"/>
                <w:szCs w:val="28"/>
                <w:lang w:val="en-US" w:eastAsia="zh-CN" w:bidi="ar-SA"/>
              </w:rPr>
              <w:t>，支持未来的更高精度和更多参数采集的需求。</w:t>
            </w:r>
          </w:p>
          <w:p w14:paraId="7AACFF15">
            <w:pPr>
              <w:pStyle w:val="23"/>
              <w:numPr>
                <w:ilvl w:val="0"/>
                <w:numId w:val="0"/>
              </w:numPr>
              <w:spacing w:line="360" w:lineRule="exact"/>
              <w:ind w:firstLine="560" w:firstLineChars="200"/>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（5）</w:t>
            </w:r>
            <w:r>
              <w:rPr>
                <w:rFonts w:hint="default" w:ascii="仿宋" w:hAnsi="仿宋" w:eastAsia="仿宋" w:cs="宋体"/>
                <w:kern w:val="2"/>
                <w:sz w:val="28"/>
                <w:szCs w:val="28"/>
                <w:lang w:val="en-US" w:eastAsia="zh-CN" w:bidi="ar-SA"/>
              </w:rPr>
              <w:t>安全冗余与可靠性：设计三重冗余控制、故障自动隔离及紧急停机功能，确保节气门响应时间≤40ms，停机响应时间≤0.3秒。</w:t>
            </w:r>
          </w:p>
          <w:p w14:paraId="1212EB24">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主要技术经济指标</w:t>
            </w:r>
          </w:p>
          <w:p w14:paraId="02EEB9E5">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（1）</w:t>
            </w:r>
            <w:r>
              <w:rPr>
                <w:rFonts w:hint="default" w:ascii="仿宋" w:hAnsi="仿宋" w:eastAsia="仿宋" w:cs="宋体"/>
                <w:kern w:val="2"/>
                <w:sz w:val="28"/>
                <w:szCs w:val="28"/>
                <w:lang w:val="en-US" w:eastAsia="zh-CN" w:bidi="ar-SA"/>
              </w:rPr>
              <w:t>功能指标：适配≥3种型号发动机，支持5种以上测试模式（稳态、动态、环境等），覆盖地面、高原、风洞场景。</w:t>
            </w:r>
          </w:p>
          <w:p w14:paraId="3650E3D4">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（2）</w:t>
            </w:r>
            <w:r>
              <w:rPr>
                <w:rFonts w:hint="default" w:ascii="仿宋" w:hAnsi="仿宋" w:eastAsia="仿宋" w:cs="宋体"/>
                <w:kern w:val="2"/>
                <w:sz w:val="28"/>
                <w:szCs w:val="28"/>
                <w:lang w:val="en-US" w:eastAsia="zh-CN" w:bidi="ar-SA"/>
              </w:rPr>
              <w:t>精度与实时性：关键参数采集精度（转速±0.1%、扭矩 ±0.5%、拉力±0.5%），数据同步延迟≤8ms，采样频率≥100Hz。</w:t>
            </w:r>
          </w:p>
          <w:p w14:paraId="3083143B">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（3）</w:t>
            </w:r>
            <w:r>
              <w:rPr>
                <w:rFonts w:hint="default" w:ascii="仿宋" w:hAnsi="仿宋" w:eastAsia="仿宋" w:cs="宋体"/>
                <w:kern w:val="2"/>
                <w:sz w:val="28"/>
                <w:szCs w:val="28"/>
                <w:lang w:val="en-US" w:eastAsia="zh-CN" w:bidi="ar-SA"/>
              </w:rPr>
              <w:t>结构可靠性：零形变设计，100小时耐久性测试形变≤0.05mm，故障率≥99%。</w:t>
            </w:r>
          </w:p>
          <w:p w14:paraId="24E0CCB7">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（4）</w:t>
            </w:r>
            <w:r>
              <w:rPr>
                <w:rFonts w:hint="default" w:ascii="仿宋" w:hAnsi="仿宋" w:eastAsia="仿宋" w:cs="宋体"/>
                <w:kern w:val="2"/>
                <w:sz w:val="28"/>
                <w:szCs w:val="28"/>
                <w:lang w:val="en-US" w:eastAsia="zh-CN" w:bidi="ar-SA"/>
              </w:rPr>
              <w:t>自动化与智能化：测试流程100%自动化，智能故障预测响应时间≤0.8秒，人工干预率≤3%。</w:t>
            </w:r>
          </w:p>
          <w:p w14:paraId="5A08816D">
            <w:pPr>
              <w:pStyle w:val="23"/>
              <w:numPr>
                <w:ilvl w:val="0"/>
                <w:numId w:val="0"/>
              </w:numPr>
              <w:spacing w:line="360" w:lineRule="exact"/>
              <w:ind w:firstLine="560" w:firstLineChars="200"/>
              <w:rPr>
                <w:rFonts w:hint="default"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（5）</w:t>
            </w:r>
            <w:r>
              <w:rPr>
                <w:rFonts w:hint="default" w:ascii="仿宋" w:hAnsi="仿宋" w:eastAsia="仿宋" w:cs="宋体"/>
                <w:kern w:val="2"/>
                <w:sz w:val="28"/>
                <w:szCs w:val="28"/>
                <w:lang w:val="en-US" w:eastAsia="zh-CN" w:bidi="ar-SA"/>
              </w:rPr>
              <w:t>环境适应性：温度范围- 40℃至60℃，高原海拔5000m性能下降≤2%，风洞风速60m/s时气动干扰≤0.8%。</w:t>
            </w:r>
          </w:p>
        </w:tc>
      </w:tr>
      <w:tr w14:paraId="59796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0" w:hRule="atLeast"/>
        </w:trPr>
        <w:tc>
          <w:tcPr>
            <w:tcW w:w="630" w:type="dxa"/>
            <w:vMerge w:val="continue"/>
            <w:tcBorders>
              <w:left w:val="single" w:color="auto" w:sz="4" w:space="0"/>
              <w:bottom w:val="single" w:color="auto" w:sz="4" w:space="0"/>
              <w:right w:val="single" w:color="auto" w:sz="4" w:space="0"/>
            </w:tcBorders>
            <w:vAlign w:val="center"/>
          </w:tcPr>
          <w:p w14:paraId="51E2A7F8">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14:paraId="7F52B440">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现有</w:t>
            </w:r>
          </w:p>
          <w:p w14:paraId="22D9EF51">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基础</w:t>
            </w:r>
          </w:p>
        </w:tc>
        <w:tc>
          <w:tcPr>
            <w:tcW w:w="7533" w:type="dxa"/>
            <w:gridSpan w:val="4"/>
            <w:tcBorders>
              <w:top w:val="single" w:color="auto" w:sz="4" w:space="0"/>
              <w:left w:val="nil"/>
              <w:bottom w:val="single" w:color="auto" w:sz="4" w:space="0"/>
              <w:right w:val="single" w:color="auto" w:sz="4" w:space="0"/>
            </w:tcBorders>
            <w:vAlign w:val="center"/>
          </w:tcPr>
          <w:p w14:paraId="0355E653">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1.</w:t>
            </w:r>
            <w:r>
              <w:rPr>
                <w:rFonts w:ascii="仿宋" w:hAnsi="仿宋" w:eastAsia="仿宋" w:cs="宋体"/>
                <w:b/>
                <w:bCs/>
                <w:sz w:val="28"/>
                <w:szCs w:val="28"/>
              </w:rPr>
              <w:t>开展的工作</w:t>
            </w:r>
          </w:p>
          <w:p w14:paraId="1AE80F2B">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已对新型航空螺旋桨发动机测试平台的研发进行全面规划，明确主要技术活动，包括满足多维度数据采集需求的高刚度摇篮架系统开发、覆盖多类型传感器多维度数据采集系统研发、支持智能算法集成的智能上位机系统设计、提高响应速度的智能总线控制与安全系统开发以及系统集成与综合验证等。</w:t>
            </w:r>
          </w:p>
          <w:p w14:paraId="5F4929F5">
            <w:pPr>
              <w:spacing w:line="360" w:lineRule="exact"/>
              <w:ind w:firstLine="562"/>
              <w:rPr>
                <w:rFonts w:ascii="仿宋" w:hAnsi="仿宋" w:eastAsia="仿宋" w:cs="宋体"/>
                <w:b/>
                <w:bCs/>
                <w:sz w:val="28"/>
                <w:szCs w:val="28"/>
              </w:rPr>
            </w:pPr>
            <w:r>
              <w:rPr>
                <w:rFonts w:hint="eastAsia" w:ascii="仿宋" w:hAnsi="仿宋" w:eastAsia="仿宋" w:cs="宋体"/>
                <w:b/>
                <w:bCs/>
                <w:sz w:val="28"/>
                <w:szCs w:val="28"/>
              </w:rPr>
              <w:t>2.</w:t>
            </w:r>
            <w:r>
              <w:rPr>
                <w:rFonts w:ascii="仿宋" w:hAnsi="仿宋" w:eastAsia="仿宋" w:cs="宋体"/>
                <w:b/>
                <w:bCs/>
                <w:sz w:val="28"/>
                <w:szCs w:val="28"/>
              </w:rPr>
              <w:t>所处阶段</w:t>
            </w:r>
          </w:p>
          <w:p w14:paraId="0A4B81C4">
            <w:pPr>
              <w:spacing w:line="360" w:lineRule="exact"/>
              <w:ind w:firstLine="562"/>
              <w:rPr>
                <w:rFonts w:hint="eastAsia" w:ascii="仿宋" w:hAnsi="仿宋" w:eastAsia="仿宋" w:cs="宋体"/>
                <w:kern w:val="2"/>
                <w:sz w:val="28"/>
                <w:szCs w:val="28"/>
                <w:lang w:val="en-US" w:eastAsia="zh-CN" w:bidi="ar-SA"/>
              </w:rPr>
            </w:pPr>
            <w:r>
              <w:rPr>
                <w:rFonts w:hint="eastAsia" w:ascii="仿宋" w:hAnsi="仿宋" w:eastAsia="仿宋" w:cs="宋体"/>
                <w:kern w:val="2"/>
                <w:sz w:val="28"/>
                <w:szCs w:val="28"/>
                <w:lang w:val="en-US" w:eastAsia="zh-CN" w:bidi="ar-SA"/>
              </w:rPr>
              <w:t>处于方案设计与试点验证阶段。已完成摇篮架结构的初步设计、有限元分析（FEA）、支持多类型传感器接入通道的关键传感器布局验证，并开始开发初版上位机软件和基本的数据采集硬件平台。同时，部分关键技术如多轴同步采集、环境补偿算法等已在实验中得到验证，整体研发工作逐步推进中。</w:t>
            </w:r>
          </w:p>
          <w:p w14:paraId="4202941E">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3.</w:t>
            </w:r>
            <w:r>
              <w:rPr>
                <w:rFonts w:ascii="仿宋" w:hAnsi="仿宋" w:eastAsia="仿宋" w:cs="宋体"/>
                <w:b/>
                <w:bCs/>
                <w:sz w:val="28"/>
                <w:szCs w:val="28"/>
              </w:rPr>
              <w:t>投入资金和人才</w:t>
            </w:r>
          </w:p>
          <w:p w14:paraId="61161752">
            <w:pPr>
              <w:spacing w:line="360" w:lineRule="exact"/>
              <w:ind w:firstLine="562"/>
              <w:rPr>
                <w:rFonts w:hint="eastAsia" w:ascii="Times New Roman" w:hAnsi="Times New Roman" w:eastAsia="仿宋_GB2312" w:cstheme="minorBidi"/>
                <w:kern w:val="2"/>
                <w:sz w:val="24"/>
                <w:szCs w:val="22"/>
                <w:lang w:val="en-US" w:eastAsia="zh-CN" w:bidi="ar-SA"/>
              </w:rPr>
            </w:pPr>
            <w:r>
              <w:rPr>
                <w:rFonts w:hint="eastAsia" w:ascii="仿宋" w:hAnsi="仿宋" w:eastAsia="仿宋" w:cs="宋体"/>
                <w:kern w:val="2"/>
                <w:sz w:val="28"/>
                <w:szCs w:val="28"/>
                <w:lang w:val="en-US" w:eastAsia="zh-CN" w:bidi="ar-SA"/>
              </w:rPr>
              <w:t>预计投入400万元，组建6人专业团队。</w:t>
            </w:r>
          </w:p>
          <w:p w14:paraId="27B41428">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4.</w:t>
            </w:r>
            <w:r>
              <w:rPr>
                <w:rFonts w:ascii="仿宋" w:hAnsi="仿宋" w:eastAsia="仿宋" w:cs="宋体"/>
                <w:b/>
                <w:bCs/>
                <w:sz w:val="28"/>
                <w:szCs w:val="28"/>
              </w:rPr>
              <w:t>仪器设备</w:t>
            </w:r>
          </w:p>
          <w:p w14:paraId="725C10D4">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拥有支持高精度信号采集的基础传感器和测试仪器，配备机械加工设备及高性能计算机，支持部分机械结构制造与基础数据处理和初步的仿真分析。</w:t>
            </w:r>
          </w:p>
          <w:p w14:paraId="46B58AFF">
            <w:pPr>
              <w:pStyle w:val="23"/>
              <w:spacing w:line="360" w:lineRule="exact"/>
              <w:rPr>
                <w:rFonts w:ascii="仿宋" w:hAnsi="仿宋" w:eastAsia="仿宋" w:cs="宋体"/>
                <w:b/>
                <w:bCs/>
                <w:sz w:val="28"/>
                <w:szCs w:val="28"/>
              </w:rPr>
            </w:pPr>
            <w:r>
              <w:rPr>
                <w:rFonts w:hint="eastAsia" w:ascii="仿宋" w:hAnsi="仿宋" w:eastAsia="仿宋" w:cs="宋体"/>
                <w:b/>
                <w:bCs/>
                <w:sz w:val="28"/>
                <w:szCs w:val="28"/>
              </w:rPr>
              <w:t>5.</w:t>
            </w:r>
            <w:r>
              <w:rPr>
                <w:rFonts w:ascii="仿宋" w:hAnsi="仿宋" w:eastAsia="仿宋" w:cs="宋体"/>
                <w:b/>
                <w:bCs/>
                <w:sz w:val="28"/>
                <w:szCs w:val="28"/>
              </w:rPr>
              <w:t>生产条件</w:t>
            </w:r>
          </w:p>
          <w:p w14:paraId="09BB7730">
            <w:pPr>
              <w:spacing w:line="360" w:lineRule="exact"/>
              <w:ind w:firstLine="562"/>
              <w:rPr>
                <w:rFonts w:hint="eastAsia" w:ascii="仿宋" w:hAnsi="仿宋" w:eastAsia="仿宋" w:cs="宋体"/>
                <w:sz w:val="28"/>
                <w:szCs w:val="28"/>
                <w:lang w:val="en-US" w:eastAsia="zh-CN"/>
              </w:rPr>
            </w:pPr>
            <w:r>
              <w:rPr>
                <w:rFonts w:hint="eastAsia" w:ascii="仿宋" w:hAnsi="仿宋" w:eastAsia="仿宋" w:cs="宋体"/>
                <w:kern w:val="2"/>
                <w:sz w:val="28"/>
                <w:szCs w:val="28"/>
                <w:lang w:val="en-US" w:eastAsia="zh-CN" w:bidi="ar-SA"/>
              </w:rPr>
              <w:t>目前已与多家高校建立了合作关系，生产条件充足，能够依托合作单位或高校实验室的资源，开展机械加工和材料加工以及复杂环境下的适应性测试。</w:t>
            </w:r>
          </w:p>
        </w:tc>
      </w:tr>
      <w:tr w14:paraId="1CE60A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7"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14:paraId="227A4AD4">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14:paraId="48956FEC">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简要</w:t>
            </w:r>
          </w:p>
          <w:p w14:paraId="27F38076">
            <w:pPr>
              <w:snapToGrid w:val="0"/>
              <w:ind w:firstLine="0" w:firstLineChars="0"/>
              <w:jc w:val="center"/>
              <w:rPr>
                <w:rFonts w:ascii="仿宋" w:hAnsi="仿宋" w:eastAsia="仿宋" w:cs="宋体"/>
                <w:sz w:val="28"/>
                <w:szCs w:val="28"/>
              </w:rPr>
            </w:pPr>
            <w:r>
              <w:rPr>
                <w:rFonts w:hint="eastAsia" w:ascii="仿宋" w:hAnsi="仿宋" w:eastAsia="仿宋" w:cs="宋体"/>
                <w:sz w:val="28"/>
                <w:szCs w:val="28"/>
              </w:rPr>
              <w:t>描述</w:t>
            </w:r>
          </w:p>
        </w:tc>
        <w:tc>
          <w:tcPr>
            <w:tcW w:w="7533" w:type="dxa"/>
            <w:gridSpan w:val="4"/>
            <w:tcBorders>
              <w:top w:val="single" w:color="auto" w:sz="4" w:space="0"/>
              <w:left w:val="single" w:color="auto" w:sz="4" w:space="0"/>
              <w:bottom w:val="single" w:color="auto" w:sz="4" w:space="0"/>
              <w:right w:val="single" w:color="auto" w:sz="4" w:space="0"/>
            </w:tcBorders>
            <w:vAlign w:val="center"/>
          </w:tcPr>
          <w:p w14:paraId="503BA6F3">
            <w:pPr>
              <w:spacing w:line="360" w:lineRule="exact"/>
              <w:ind w:left="0" w:leftChars="0" w:firstLine="560" w:firstLineChars="200"/>
              <w:rPr>
                <w:rFonts w:hint="eastAsia"/>
                <w:sz w:val="24"/>
              </w:rPr>
            </w:pPr>
            <w:r>
              <w:rPr>
                <w:rFonts w:hint="eastAsia" w:ascii="仿宋" w:hAnsi="仿宋" w:eastAsia="仿宋" w:cs="宋体"/>
                <w:kern w:val="2"/>
                <w:sz w:val="28"/>
                <w:szCs w:val="28"/>
                <w:lang w:val="en-US" w:eastAsia="zh-CN" w:bidi="ar-SA"/>
              </w:rPr>
              <w:t>希望能够与相关专业领域的技术团队开展合作，合作对象不限于高校和科研院所，任何具备相应技术实力的团队都可以参与。合作的关键要求是合作方能够按照约定的时间节点，按时完成既定的技术指标和任务，确保项目的顺利推进和目标的达成。在合作过程中，希望双方密切配合，共同面对挑战，充分发挥各自优势，以实现项目的预期效果和技术突破</w:t>
            </w:r>
            <w:r>
              <w:rPr>
                <w:rFonts w:hint="eastAsia" w:ascii="Times New Roman" w:hAnsi="Times New Roman" w:eastAsia="仿宋_GB2312"/>
                <w:sz w:val="24"/>
              </w:rPr>
              <w:t>。</w:t>
            </w:r>
          </w:p>
        </w:tc>
      </w:tr>
      <w:tr w14:paraId="7EF87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53"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14:paraId="401C7D19">
            <w:pPr>
              <w:spacing w:line="360" w:lineRule="exact"/>
              <w:ind w:firstLine="0" w:firstLineChars="0"/>
              <w:rPr>
                <w:rFonts w:ascii="仿宋" w:hAnsi="仿宋" w:eastAsia="仿宋" w:cs="宋体"/>
                <w:kern w:val="0"/>
                <w:sz w:val="28"/>
                <w:szCs w:val="28"/>
              </w:rPr>
            </w:pPr>
          </w:p>
        </w:tc>
        <w:tc>
          <w:tcPr>
            <w:tcW w:w="876" w:type="dxa"/>
            <w:tcBorders>
              <w:top w:val="single" w:color="auto" w:sz="4" w:space="0"/>
              <w:left w:val="nil"/>
              <w:bottom w:val="single" w:color="auto" w:sz="4" w:space="0"/>
              <w:right w:val="single" w:color="auto" w:sz="4" w:space="0"/>
            </w:tcBorders>
            <w:vAlign w:val="center"/>
          </w:tcPr>
          <w:p w14:paraId="1FF802E6">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合作</w:t>
            </w:r>
          </w:p>
          <w:p w14:paraId="0893EABB">
            <w:pPr>
              <w:spacing w:line="360" w:lineRule="exact"/>
              <w:ind w:firstLine="0" w:firstLineChars="0"/>
              <w:jc w:val="center"/>
              <w:rPr>
                <w:rFonts w:ascii="仿宋" w:hAnsi="仿宋" w:eastAsia="仿宋" w:cs="宋体"/>
                <w:kern w:val="0"/>
                <w:sz w:val="28"/>
                <w:szCs w:val="28"/>
              </w:rPr>
            </w:pPr>
            <w:r>
              <w:rPr>
                <w:rFonts w:hint="eastAsia" w:ascii="仿宋" w:hAnsi="仿宋" w:eastAsia="仿宋" w:cs="宋体"/>
                <w:kern w:val="0"/>
                <w:sz w:val="28"/>
                <w:szCs w:val="28"/>
              </w:rPr>
              <w:t>方式</w:t>
            </w:r>
          </w:p>
        </w:tc>
        <w:tc>
          <w:tcPr>
            <w:tcW w:w="7533" w:type="dxa"/>
            <w:gridSpan w:val="4"/>
            <w:tcBorders>
              <w:top w:val="single" w:color="auto" w:sz="4" w:space="0"/>
              <w:left w:val="nil"/>
              <w:bottom w:val="single" w:color="auto" w:sz="4" w:space="0"/>
              <w:right w:val="single" w:color="auto" w:sz="4" w:space="0"/>
            </w:tcBorders>
            <w:vAlign w:val="center"/>
          </w:tcPr>
          <w:p w14:paraId="2DA0ABC0">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 xml:space="preserve">□技术转让    </w:t>
            </w:r>
            <w:r>
              <w:rPr>
                <w:rFonts w:ascii="仿宋" w:hAnsi="仿宋" w:eastAsia="仿宋" w:cs="宋体"/>
                <w:sz w:val="28"/>
                <w:szCs w:val="28"/>
              </w:rPr>
              <w:t xml:space="preserve">  </w:t>
            </w:r>
            <w:r>
              <w:rPr>
                <w:rFonts w:hint="eastAsia" w:ascii="仿宋" w:hAnsi="仿宋" w:eastAsia="仿宋" w:cs="宋体"/>
                <w:sz w:val="28"/>
                <w:szCs w:val="28"/>
              </w:rPr>
              <w:t xml:space="preserve">□技术入股   </w:t>
            </w:r>
            <w:r>
              <w:rPr>
                <w:rFonts w:ascii="仿宋" w:hAnsi="仿宋" w:eastAsia="仿宋" w:cs="宋体"/>
                <w:sz w:val="28"/>
                <w:szCs w:val="28"/>
              </w:rPr>
              <w:t xml:space="preserve">   </w:t>
            </w:r>
            <w:r>
              <w:rPr>
                <w:rFonts w:hint="eastAsia" w:ascii="仿宋" w:hAnsi="仿宋" w:eastAsia="仿宋" w:cs="宋体"/>
                <w:sz w:val="28"/>
                <w:szCs w:val="28"/>
              </w:rPr>
              <w:t xml:space="preserve">□联合开发   </w:t>
            </w:r>
          </w:p>
          <w:p w14:paraId="07E9B7D9">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 xml:space="preserve">委托研发 </w:t>
            </w:r>
            <w:r>
              <w:rPr>
                <w:rFonts w:ascii="仿宋" w:hAnsi="仿宋" w:eastAsia="仿宋" w:cs="宋体"/>
                <w:sz w:val="28"/>
                <w:szCs w:val="28"/>
              </w:rPr>
              <w:t xml:space="preserve">     </w:t>
            </w:r>
            <w:r>
              <w:rPr>
                <w:rFonts w:hint="eastAsia" w:ascii="仿宋" w:hAnsi="仿宋" w:eastAsia="仿宋" w:cs="宋体"/>
                <w:sz w:val="28"/>
                <w:szCs w:val="28"/>
              </w:rPr>
              <w:t>■</w:t>
            </w:r>
            <w:r>
              <w:rPr>
                <w:rFonts w:hint="eastAsia" w:ascii="仿宋" w:hAnsi="仿宋" w:eastAsia="仿宋" w:cs="宋体"/>
                <w:sz w:val="28"/>
                <w:szCs w:val="28"/>
              </w:rPr>
              <w:t xml:space="preserve">委托团队、专家长期技术服务    </w:t>
            </w:r>
          </w:p>
          <w:p w14:paraId="2C3EC42B">
            <w:pPr>
              <w:spacing w:line="360" w:lineRule="exact"/>
              <w:ind w:firstLine="0" w:firstLineChars="0"/>
              <w:rPr>
                <w:rFonts w:ascii="仿宋" w:hAnsi="仿宋" w:eastAsia="仿宋" w:cs="宋体"/>
                <w:sz w:val="28"/>
                <w:szCs w:val="28"/>
              </w:rPr>
            </w:pPr>
            <w:r>
              <w:rPr>
                <w:rFonts w:hint="eastAsia" w:ascii="仿宋" w:hAnsi="仿宋" w:eastAsia="仿宋" w:cs="宋体"/>
                <w:sz w:val="28"/>
                <w:szCs w:val="28"/>
              </w:rPr>
              <w:t>■</w:t>
            </w:r>
            <w:r>
              <w:rPr>
                <w:rFonts w:hint="eastAsia" w:ascii="仿宋" w:hAnsi="仿宋" w:eastAsia="仿宋" w:cs="宋体"/>
                <w:sz w:val="28"/>
                <w:szCs w:val="28"/>
              </w:rPr>
              <w:t>共建新研发、生产实体</w:t>
            </w:r>
          </w:p>
        </w:tc>
      </w:tr>
      <w:bookmarkEnd w:id="1"/>
      <w:bookmarkEnd w:id="2"/>
    </w:tbl>
    <w:p w14:paraId="1C44BA4E">
      <w:pPr>
        <w:widowControl/>
        <w:ind w:firstLine="0" w:firstLineChars="0"/>
        <w:jc w:val="left"/>
        <w:rPr>
          <w:rFonts w:ascii="黑体" w:hAnsi="黑体" w:eastAsia="黑体" w:cs="黑体"/>
          <w:bCs/>
          <w:szCs w:val="32"/>
        </w:rPr>
      </w:pPr>
    </w:p>
    <w:sectPr>
      <w:headerReference r:id="rId7" w:type="first"/>
      <w:footerReference r:id="rId10" w:type="first"/>
      <w:headerReference r:id="rId5" w:type="default"/>
      <w:footerReference r:id="rId8" w:type="default"/>
      <w:headerReference r:id="rId6" w:type="even"/>
      <w:footerReference r:id="rId9" w:type="even"/>
      <w:pgSz w:w="11906" w:h="16838"/>
      <w:pgMar w:top="1588" w:right="1474" w:bottom="1588" w:left="1588" w:header="851" w:footer="1418"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1B5A9E1">
    <w:pPr>
      <w:pStyle w:val="11"/>
      <w:tabs>
        <w:tab w:val="clear" w:pos="4153"/>
      </w:tabs>
      <w:wordWrap w:val="0"/>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21F563">
    <w:pPr>
      <w:pStyle w:val="11"/>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65A859">
    <w:pPr>
      <w:pStyle w:val="1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8455">
    <w:pPr>
      <w:pStyle w:val="12"/>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092EC1">
    <w:pPr>
      <w:pStyle w:val="12"/>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51731C">
    <w:pPr>
      <w:pStyle w:val="12"/>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4"/>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5"/>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TQ1YTcwOTc1ZDUxNTcwOGNiZjNiNTdiY2QzOTc1YTgifQ=="/>
  </w:docVars>
  <w:rsids>
    <w:rsidRoot w:val="79FC669C"/>
    <w:rsid w:val="00010F3F"/>
    <w:rsid w:val="0002333C"/>
    <w:rsid w:val="00036F3D"/>
    <w:rsid w:val="0004253E"/>
    <w:rsid w:val="00045D4A"/>
    <w:rsid w:val="00056A8B"/>
    <w:rsid w:val="0006008E"/>
    <w:rsid w:val="00060505"/>
    <w:rsid w:val="00076156"/>
    <w:rsid w:val="0009366D"/>
    <w:rsid w:val="000A0F21"/>
    <w:rsid w:val="000C0557"/>
    <w:rsid w:val="000D0414"/>
    <w:rsid w:val="001554EA"/>
    <w:rsid w:val="00165BBD"/>
    <w:rsid w:val="001934AD"/>
    <w:rsid w:val="001E2F64"/>
    <w:rsid w:val="0022094F"/>
    <w:rsid w:val="00234C38"/>
    <w:rsid w:val="0024332C"/>
    <w:rsid w:val="00264A4F"/>
    <w:rsid w:val="00296DCC"/>
    <w:rsid w:val="002A5D22"/>
    <w:rsid w:val="002B0C77"/>
    <w:rsid w:val="002B676F"/>
    <w:rsid w:val="002E042D"/>
    <w:rsid w:val="002F250F"/>
    <w:rsid w:val="00304FCF"/>
    <w:rsid w:val="003506C8"/>
    <w:rsid w:val="003E512F"/>
    <w:rsid w:val="003E560E"/>
    <w:rsid w:val="004327BA"/>
    <w:rsid w:val="00466598"/>
    <w:rsid w:val="00472ADB"/>
    <w:rsid w:val="0049041D"/>
    <w:rsid w:val="004B0DD0"/>
    <w:rsid w:val="004B47E3"/>
    <w:rsid w:val="005061D6"/>
    <w:rsid w:val="00507F22"/>
    <w:rsid w:val="00526424"/>
    <w:rsid w:val="0056030C"/>
    <w:rsid w:val="00562652"/>
    <w:rsid w:val="005E2D4A"/>
    <w:rsid w:val="005F6D63"/>
    <w:rsid w:val="00616024"/>
    <w:rsid w:val="0063722E"/>
    <w:rsid w:val="00637DF6"/>
    <w:rsid w:val="00654F78"/>
    <w:rsid w:val="00672CF2"/>
    <w:rsid w:val="0068301F"/>
    <w:rsid w:val="006B7E13"/>
    <w:rsid w:val="006C5C73"/>
    <w:rsid w:val="006C6314"/>
    <w:rsid w:val="006D1A79"/>
    <w:rsid w:val="006E61EB"/>
    <w:rsid w:val="006F5501"/>
    <w:rsid w:val="0077165B"/>
    <w:rsid w:val="0083052B"/>
    <w:rsid w:val="008469CF"/>
    <w:rsid w:val="0084710D"/>
    <w:rsid w:val="00847F49"/>
    <w:rsid w:val="00865E10"/>
    <w:rsid w:val="008B07BF"/>
    <w:rsid w:val="008D29E6"/>
    <w:rsid w:val="008F064F"/>
    <w:rsid w:val="008F3F6A"/>
    <w:rsid w:val="009155A4"/>
    <w:rsid w:val="009318C9"/>
    <w:rsid w:val="009514B8"/>
    <w:rsid w:val="0095160C"/>
    <w:rsid w:val="0098121D"/>
    <w:rsid w:val="009C1D42"/>
    <w:rsid w:val="009C51C7"/>
    <w:rsid w:val="009C5E15"/>
    <w:rsid w:val="00A06B92"/>
    <w:rsid w:val="00A11D0C"/>
    <w:rsid w:val="00A56FC4"/>
    <w:rsid w:val="00A57217"/>
    <w:rsid w:val="00A80129"/>
    <w:rsid w:val="00AC1B7F"/>
    <w:rsid w:val="00AD33F6"/>
    <w:rsid w:val="00AE4D91"/>
    <w:rsid w:val="00AF68A0"/>
    <w:rsid w:val="00B0509A"/>
    <w:rsid w:val="00B05B59"/>
    <w:rsid w:val="00B24F63"/>
    <w:rsid w:val="00B46EF5"/>
    <w:rsid w:val="00B83E4D"/>
    <w:rsid w:val="00BA0439"/>
    <w:rsid w:val="00BC043E"/>
    <w:rsid w:val="00C02FFC"/>
    <w:rsid w:val="00C30D6A"/>
    <w:rsid w:val="00C54BD6"/>
    <w:rsid w:val="00C55182"/>
    <w:rsid w:val="00C568BA"/>
    <w:rsid w:val="00CA6B9C"/>
    <w:rsid w:val="00CC3765"/>
    <w:rsid w:val="00CD24D5"/>
    <w:rsid w:val="00CD780B"/>
    <w:rsid w:val="00CE28CF"/>
    <w:rsid w:val="00D009C6"/>
    <w:rsid w:val="00D52765"/>
    <w:rsid w:val="00D62785"/>
    <w:rsid w:val="00D738D7"/>
    <w:rsid w:val="00DC0724"/>
    <w:rsid w:val="00DD2D2A"/>
    <w:rsid w:val="00DD5222"/>
    <w:rsid w:val="00DE0E49"/>
    <w:rsid w:val="00E00721"/>
    <w:rsid w:val="00E37579"/>
    <w:rsid w:val="00E74DEF"/>
    <w:rsid w:val="00EA2F19"/>
    <w:rsid w:val="00EA3391"/>
    <w:rsid w:val="00EC4D84"/>
    <w:rsid w:val="00F331A3"/>
    <w:rsid w:val="00F532C5"/>
    <w:rsid w:val="00F70DDF"/>
    <w:rsid w:val="00F847BA"/>
    <w:rsid w:val="00FC601B"/>
    <w:rsid w:val="00FE5C7C"/>
    <w:rsid w:val="00FF0842"/>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4B7CD6"/>
    <w:rsid w:val="05972CEA"/>
    <w:rsid w:val="059A639E"/>
    <w:rsid w:val="05FB3968"/>
    <w:rsid w:val="06167FF6"/>
    <w:rsid w:val="062C7420"/>
    <w:rsid w:val="06580531"/>
    <w:rsid w:val="066E6C5F"/>
    <w:rsid w:val="06D131DC"/>
    <w:rsid w:val="06EF6A3C"/>
    <w:rsid w:val="06F97412"/>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A6058A"/>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570A2E"/>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682D50"/>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3F3520"/>
    <w:rsid w:val="3A582968"/>
    <w:rsid w:val="3A7D7406"/>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241D2B"/>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A96F0A"/>
    <w:rsid w:val="5EB76D5F"/>
    <w:rsid w:val="5EB870ED"/>
    <w:rsid w:val="5F4654B2"/>
    <w:rsid w:val="5F4F3C1A"/>
    <w:rsid w:val="5F9066CE"/>
    <w:rsid w:val="5FDB64F8"/>
    <w:rsid w:val="5FFF5EFE"/>
    <w:rsid w:val="600B4380"/>
    <w:rsid w:val="602E1FAC"/>
    <w:rsid w:val="6033141C"/>
    <w:rsid w:val="603F6696"/>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420AB3"/>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042F"/>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186A79"/>
    <w:rsid w:val="6C437DE6"/>
    <w:rsid w:val="6C59328A"/>
    <w:rsid w:val="6C730F73"/>
    <w:rsid w:val="6CCD2C3B"/>
    <w:rsid w:val="6D4943D6"/>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053DAA"/>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qFormat="1"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2">
    <w:name w:val="heading 1"/>
    <w:basedOn w:val="3"/>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4">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5">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8">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3">
    <w:name w:val="Title"/>
    <w:basedOn w:val="1"/>
    <w:qFormat/>
    <w:uiPriority w:val="0"/>
    <w:pPr>
      <w:spacing w:before="240" w:after="60"/>
      <w:jc w:val="center"/>
      <w:outlineLvl w:val="0"/>
    </w:pPr>
    <w:rPr>
      <w:rFonts w:ascii="Arial" w:hAnsi="Arial"/>
      <w:b/>
    </w:rPr>
  </w:style>
  <w:style w:type="paragraph" w:styleId="6">
    <w:name w:val="Normal Indent"/>
    <w:basedOn w:val="1"/>
    <w:qFormat/>
    <w:uiPriority w:val="0"/>
    <w:pPr>
      <w:ind w:firstLine="420" w:firstLineChars="0"/>
    </w:pPr>
    <w:rPr>
      <w:rFonts w:ascii="Calibri" w:hAnsi="Calibri" w:eastAsia="宋体" w:cs="Times New Roman"/>
      <w:sz w:val="21"/>
      <w:szCs w:val="20"/>
    </w:rPr>
  </w:style>
  <w:style w:type="paragraph" w:styleId="7">
    <w:name w:val="annotation text"/>
    <w:basedOn w:val="1"/>
    <w:link w:val="24"/>
    <w:qFormat/>
    <w:uiPriority w:val="0"/>
    <w:pPr>
      <w:jc w:val="left"/>
    </w:pPr>
  </w:style>
  <w:style w:type="paragraph" w:styleId="8">
    <w:name w:val="Body Text 3"/>
    <w:basedOn w:val="1"/>
    <w:qFormat/>
    <w:uiPriority w:val="0"/>
    <w:rPr>
      <w:rFonts w:ascii="仿宋_GB2312"/>
      <w:spacing w:val="-4"/>
      <w:sz w:val="16"/>
      <w:szCs w:val="16"/>
    </w:rPr>
  </w:style>
  <w:style w:type="paragraph" w:styleId="9">
    <w:name w:val="Body Text"/>
    <w:basedOn w:val="1"/>
    <w:qFormat/>
    <w:uiPriority w:val="0"/>
    <w:pPr>
      <w:spacing w:after="120"/>
    </w:pPr>
    <w:rPr>
      <w:rFonts w:ascii="Calibri" w:hAnsi="Calibri"/>
      <w:sz w:val="24"/>
    </w:rPr>
  </w:style>
  <w:style w:type="paragraph" w:styleId="10">
    <w:name w:val="Date"/>
    <w:basedOn w:val="1"/>
    <w:next w:val="1"/>
    <w:qFormat/>
    <w:uiPriority w:val="0"/>
    <w:pPr>
      <w:ind w:left="100" w:leftChars="2500"/>
    </w:pPr>
    <w:rPr>
      <w:sz w:val="28"/>
    </w:rPr>
  </w:style>
  <w:style w:type="paragraph" w:styleId="11">
    <w:name w:val="footer"/>
    <w:basedOn w:val="1"/>
    <w:link w:val="20"/>
    <w:qFormat/>
    <w:uiPriority w:val="0"/>
    <w:pPr>
      <w:tabs>
        <w:tab w:val="center" w:pos="4153"/>
        <w:tab w:val="right" w:pos="8306"/>
      </w:tabs>
      <w:snapToGrid w:val="0"/>
      <w:ind w:firstLine="0" w:firstLineChars="0"/>
      <w:jc w:val="left"/>
    </w:pPr>
    <w:rPr>
      <w:rFonts w:eastAsia="宋体"/>
      <w:sz w:val="28"/>
      <w:szCs w:val="18"/>
    </w:rPr>
  </w:style>
  <w:style w:type="paragraph" w:styleId="12">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3">
    <w:name w:val="toc 1"/>
    <w:basedOn w:val="1"/>
    <w:next w:val="1"/>
    <w:qFormat/>
    <w:uiPriority w:val="0"/>
  </w:style>
  <w:style w:type="paragraph" w:styleId="14">
    <w:name w:val="annotation subject"/>
    <w:basedOn w:val="7"/>
    <w:next w:val="7"/>
    <w:link w:val="25"/>
    <w:qFormat/>
    <w:uiPriority w:val="0"/>
    <w:rPr>
      <w:b/>
      <w:bCs/>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7">
    <w:name w:val="Light Shading Accent 3"/>
    <w:basedOn w:val="15"/>
    <w:qFormat/>
    <w:uiPriority w:val="60"/>
    <w:rPr>
      <w:rFonts w:asciiTheme="minorHAnsi" w:hAnsiTheme="minorHAnsi" w:eastAsiaTheme="minorEastAsia" w:cstheme="minorBidi"/>
      <w:color w:val="7C7C7C" w:themeColor="accent3" w:themeShade="BF"/>
      <w:kern w:val="2"/>
      <w:sz w:val="21"/>
      <w:szCs w:val="22"/>
    </w:rPr>
    <w:tblPr>
      <w:tblBorders>
        <w:top w:val="single" w:color="A5A5A5" w:themeColor="accent3" w:sz="8" w:space="0"/>
        <w:bottom w:val="single" w:color="A5A5A5" w:themeColor="accent3" w:sz="8" w:space="0"/>
      </w:tblBorders>
    </w:tblPr>
    <w:tblStylePr w:type="fir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lastRow">
      <w:pPr>
        <w:spacing w:before="0" w:after="0" w:line="240" w:lineRule="auto"/>
      </w:pPr>
      <w:rPr>
        <w:b/>
        <w:bCs/>
      </w:rPr>
      <w:tblPr/>
      <w:tcPr>
        <w:tcBorders>
          <w:top w:val="single" w:color="A5A5A5" w:themeColor="accent3" w:sz="8" w:space="0"/>
          <w:left w:val="nil"/>
          <w:bottom w:val="single" w:color="A5A5A5"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character" w:styleId="19">
    <w:name w:val="annotation reference"/>
    <w:basedOn w:val="18"/>
    <w:qFormat/>
    <w:uiPriority w:val="0"/>
    <w:rPr>
      <w:sz w:val="21"/>
      <w:szCs w:val="21"/>
    </w:rPr>
  </w:style>
  <w:style w:type="character" w:customStyle="1" w:styleId="20">
    <w:name w:val="页脚 字符"/>
    <w:basedOn w:val="18"/>
    <w:link w:val="11"/>
    <w:semiHidden/>
    <w:qFormat/>
    <w:uiPriority w:val="99"/>
    <w:rPr>
      <w:rFonts w:ascii="Times New Roman" w:hAnsi="Times New Roman" w:eastAsia="宋体"/>
      <w:sz w:val="28"/>
      <w:szCs w:val="18"/>
    </w:rPr>
  </w:style>
  <w:style w:type="paragraph" w:customStyle="1" w:styleId="21">
    <w:name w:val="List Paragraph1"/>
    <w:basedOn w:val="1"/>
    <w:qFormat/>
    <w:uiPriority w:val="0"/>
    <w:pPr>
      <w:ind w:firstLine="420"/>
    </w:pPr>
    <w:rPr>
      <w:rFonts w:ascii="Calibri" w:hAnsi="Calibri"/>
      <w:szCs w:val="22"/>
    </w:rPr>
  </w:style>
  <w:style w:type="paragraph" w:customStyle="1" w:styleId="22">
    <w:name w:val="列表段落1"/>
    <w:basedOn w:val="1"/>
    <w:unhideWhenUsed/>
    <w:qFormat/>
    <w:uiPriority w:val="99"/>
    <w:pPr>
      <w:ind w:firstLine="420"/>
    </w:pPr>
  </w:style>
  <w:style w:type="paragraph" w:styleId="23">
    <w:name w:val="List Paragraph"/>
    <w:basedOn w:val="1"/>
    <w:qFormat/>
    <w:uiPriority w:val="34"/>
    <w:pPr>
      <w:ind w:firstLine="420"/>
    </w:pPr>
  </w:style>
  <w:style w:type="character" w:customStyle="1" w:styleId="24">
    <w:name w:val="批注文字 字符"/>
    <w:basedOn w:val="18"/>
    <w:link w:val="7"/>
    <w:qFormat/>
    <w:uiPriority w:val="0"/>
    <w:rPr>
      <w:rFonts w:eastAsia="仿宋_GB2312" w:cstheme="minorBidi"/>
      <w:kern w:val="2"/>
      <w:sz w:val="32"/>
      <w:szCs w:val="24"/>
    </w:rPr>
  </w:style>
  <w:style w:type="character" w:customStyle="1" w:styleId="25">
    <w:name w:val="批注主题 字符"/>
    <w:basedOn w:val="24"/>
    <w:link w:val="14"/>
    <w:qFormat/>
    <w:uiPriority w:val="0"/>
    <w:rPr>
      <w:rFonts w:eastAsia="仿宋_GB2312" w:cstheme="minorBidi"/>
      <w:b/>
      <w:bCs/>
      <w:kern w:val="2"/>
      <w:sz w:val="32"/>
      <w:szCs w:val="24"/>
    </w:rPr>
  </w:style>
  <w:style w:type="paragraph" w:customStyle="1" w:styleId="26">
    <w:name w:val="段"/>
    <w:qFormat/>
    <w:uiPriority w:val="0"/>
    <w:pPr>
      <w:tabs>
        <w:tab w:val="center" w:pos="4201"/>
        <w:tab w:val="right" w:leader="dot" w:pos="9298"/>
      </w:tabs>
      <w:autoSpaceDE w:val="0"/>
      <w:autoSpaceDN w:val="0"/>
      <w:spacing w:line="420" w:lineRule="exact"/>
      <w:ind w:firstLine="200" w:firstLineChars="200"/>
    </w:pPr>
    <w:rPr>
      <w:rFonts w:ascii="宋体" w:hAnsi="宋体" w:eastAsia="宋体" w:cs="Times New Roman"/>
      <w:sz w:val="28"/>
      <w:lang w:val="en-US" w:eastAsia="zh-CN" w:bidi="ar-SA"/>
    </w:rPr>
  </w:style>
  <w:style w:type="table" w:customStyle="1" w:styleId="27">
    <w:name w:val="TableGrid"/>
    <w:qFormat/>
    <w:uiPriority w:val="0"/>
    <w:pPr>
      <w:spacing w:after="0" w:line="240" w:lineRule="auto"/>
    </w:pPr>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numbering" Target="numbering.xml"/><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551B2D8-35B5-4337-9C43-532BB6A450D6}">
  <ds:schemaRefs/>
</ds:datastoreItem>
</file>

<file path=docProps/app.xml><?xml version="1.0" encoding="utf-8"?>
<Properties xmlns="http://schemas.openxmlformats.org/officeDocument/2006/extended-properties" xmlns:vt="http://schemas.openxmlformats.org/officeDocument/2006/docPropsVTypes">
  <Template>Normal.dotm</Template>
  <Pages>3</Pages>
  <Words>454</Words>
  <Characters>476</Characters>
  <Lines>27</Lines>
  <Paragraphs>7</Paragraphs>
  <TotalTime>3</TotalTime>
  <ScaleCrop>false</ScaleCrop>
  <LinksUpToDate>false</LinksUpToDate>
  <CharactersWithSpaces>501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2024-07-19T02:01:00Z</dcterms:created>
  <dc:creator>黄山红牡丹</dc:creator>
  <cp:lastModifiedBy>13119135682</cp:lastModifiedBy>
  <cp:lastPrinted>2019-06-25T02:30:00Z</cp:lastPrinted>
  <dcterms:modified xsi:type="dcterms:W3CDTF">2025-07-23T07:30:55Z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A99344119688483DB7FB863FB90FA3B1_13</vt:lpwstr>
  </property>
  <property fmtid="{D5CDD505-2E9C-101B-9397-08002B2CF9AE}" pid="4" name="KSOTemplateDocerSaveRecord">
    <vt:lpwstr>eyJoZGlkIjoiNTQ1YTcwOTc1ZDUxNTcwOGNiZjNiNTdiY2QzOTc1YTgiLCJ1c2VySWQiOiI5NjYxMjMwNzMifQ==</vt:lpwstr>
  </property>
</Properties>
</file>