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29</w:t>
      </w:r>
      <w:r>
        <w:rPr>
          <w:rFonts w:hint="eastAsia" w:ascii="黑体" w:hAnsi="黑体" w:eastAsia="黑体"/>
          <w:b/>
          <w:bCs/>
          <w:kern w:val="0"/>
          <w:szCs w:val="32"/>
        </w:rPr>
        <w:t>.</w:t>
      </w:r>
      <w:bookmarkEnd w:id="0"/>
      <w:r>
        <w:rPr>
          <w:rFonts w:hint="eastAsia" w:ascii="黑体" w:hAnsi="黑体" w:eastAsia="黑体"/>
          <w:b/>
          <w:bCs/>
          <w:kern w:val="0"/>
          <w:szCs w:val="32"/>
        </w:rPr>
        <w:t>基于新型多孔材料的可逆物理储放氢技术</w:t>
      </w:r>
      <w:r>
        <w:rPr>
          <w:rFonts w:hint="eastAsia" w:ascii="黑体" w:hAnsi="黑体" w:eastAsia="黑体"/>
          <w:b/>
          <w:bCs/>
          <w:kern w:val="0"/>
          <w:szCs w:val="32"/>
          <w:lang w:val="en-US" w:eastAsia="zh-CN"/>
        </w:rPr>
        <w:t>研发</w:t>
      </w:r>
    </w:p>
    <w:bookmarkEnd w:id="3"/>
    <w:tbl>
      <w:tblPr>
        <w:tblStyle w:val="1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陕西鼎基能源科技有限公司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制造业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新能源与节能</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663940D5">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开发性能更优异的新型储氢多孔材料，阐明储氢多孔材料的氢气吸/脱附性能以及机理，从而指导材料的优化设计，探索推进其实际储氢应用的新技术，是当前亟待突破的难点。</w:t>
            </w:r>
          </w:p>
          <w:p w14:paraId="6AD44308">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本需求拟针对氢气的高效储运与纯化这一制约国家绿色低碳发展的“卡脖子”问题，探索固态物理吸附储氢新材料/新体系及其氢气纯化技术。具体需求内容包括：通过对多孔材料的比表面积、孔体积、多孔结构等进行调控，开发具有高储氢密度、储氢和释氢条件温和、优异循环使用性、自适应性、低密度等优点的新型多孔材料，探究多孔材料的结构调控规律、储氢热力学与动力学性能、氢气可逆吸脱附性能，揭示多孔结构与储氢性能之间的构效关系。建立多孔材料对储氢装置进行功能改性的方法，进而构筑高性能轻质复合储氢装置，并对其储氢性能进行系统的研究，揭示其对储氢装置的实际储氢性能的影响规律。探索新型多孔材料的氢气纯化分离性能与机制，并构建氢气纯化分离膜材料。</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由于碳排放导致的气候变化、全球变暖等环境问题日益严重，受到了各国政府的重视。2020年9月，我国明确提出了2030年前实现“碳达峰”与2060年前实现“碳中和”的重大战略决策，并将这一目标任务纳入“十四五”规划纲要。我国碳排放量位居世界第一，碳减排任务十分艰巨。加快理想清洁能源——氢能的发展，是助力实现“碳达峰、碳中和”的关键之一。我省明确将推动氢能发展作为未来五年重要工作，提出“做大做强氢气资源开发，力争成为全国氢能大省”。然而氢气的高效安全储存一直是亟待解决的世界难题，现有的储氢方法仍然面临着很大的安全隐患、储氢和释氢条件苛刻、难以循环使用、储氢密度和能量利用效率低等问题，是限制其应用推广的关键难题，也是制约我国低碳经济发展的“卡脖子”问题。基于氢能存储和利用的迫切需求，《中国氢能产业基础设施发展蓝皮书》中提出了在2030年完成储氢设备轻量化和复合体系储氢的目标。因此，面向我国不同储氢领域（加氢站、车用储氢、氢气运输等）的重大需求，尤其是小型化、轻量化、安全等储氢需求，为推动氢能发展着力开发能够高效安全储存氢气的轻质材料和新技术是十分关键的。</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如何通过超分子组装、配位、有机合成等方法制备具有微孔的多孔材料，改变组装/配位基元，调节多孔材料的比表面积、孔体积、多孔结构、氢气结合位点等，探究多孔材料的结构调控规律。尤其是不同温度下和压力下，氢气的重量存储密度。分析氢气吸附动力学和脱附动力学过程，包括吸附和脱附速率，探讨氢气与多孔材料的吸附强度，以及可再生重复储氢能力。</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1291AA8F">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主要针对氢气的高效储运与纯化这一制约国家绿色低碳发展的“卡脖子”问题，探索固态多孔物理吸附储氢材料，构建可逆储氢新材料/新体系及其储氢装置，具体包括：</w:t>
            </w:r>
          </w:p>
          <w:p w14:paraId="05C69D19">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构筑出3-6种多孔储氢固体材料，实现对其比表面积、孔体积、多孔结构等的调控；材料具有优异的可逆储放氢性能，储存和释放条件温和；构筑出基于多孔材料的轻质复合储氢装置；在不低于液氮温度下的储氢密度按质量计≥4.5%，储氢压力≤10 MPa；多孔储氢材料具有氢气纯化分离性能，并实现氢气纯化分离膜的构筑。</w:t>
            </w:r>
          </w:p>
          <w:p w14:paraId="5B71E4DC">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7DEAB420">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计划投入488万元用于项目研发投入，该研发已经通过中国工商银行和上海浦发银行贷款资金解决，项目研发周期计划为12个月。</w:t>
            </w:r>
          </w:p>
          <w:p w14:paraId="093CCAF8">
            <w:pPr>
              <w:keepNext w:val="0"/>
              <w:keepLines w:val="0"/>
              <w:pageBreakBefore w:val="0"/>
              <w:widowControl w:val="0"/>
              <w:kinsoku/>
              <w:wordWrap/>
              <w:overflowPunct/>
              <w:topLinePunct w:val="0"/>
              <w:autoSpaceDE/>
              <w:autoSpaceDN/>
              <w:bidi w:val="0"/>
              <w:adjustRightInd/>
              <w:snapToGrid/>
              <w:spacing w:line="360" w:lineRule="exact"/>
              <w:ind w:firstLine="562" w:firstLineChars="200"/>
              <w:textAlignment w:val="auto"/>
              <w:rPr>
                <w:rFonts w:hint="eastAsia" w:ascii="仿宋" w:hAnsi="仿宋" w:eastAsia="仿宋" w:cs="宋体"/>
                <w:b/>
                <w:bCs/>
                <w:sz w:val="28"/>
                <w:szCs w:val="28"/>
                <w:lang w:val="en-US" w:eastAsia="zh-CN"/>
              </w:rPr>
            </w:pPr>
            <w:r>
              <w:rPr>
                <w:rFonts w:hint="eastAsia" w:ascii="仿宋" w:hAnsi="仿宋" w:eastAsia="仿宋" w:cs="宋体"/>
                <w:b/>
                <w:bCs/>
                <w:sz w:val="28"/>
                <w:szCs w:val="28"/>
                <w:lang w:val="en-US" w:eastAsia="zh-CN"/>
              </w:rPr>
              <w:t>5.其他</w:t>
            </w:r>
          </w:p>
          <w:p w14:paraId="22AA5441">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揭示多孔结构与储氢性能之间的构效关系，开发筛选出具有高储氢密度、储氢和释氢条件温和、优异循环使用性、自适应性、低密度等优点的多孔材料。</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4B212355">
            <w:pPr>
              <w:pStyle w:val="29"/>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公司自建了企业技术中心，投入二百多万元建立了试验室和检测中心，拥有制氢工艺单元示范装置及相关分析检测仪器仪表和各种检测试剂等全套设备，具备独立试验和检测分析能力。</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5A3F58F4">
            <w:pPr>
              <w:pStyle w:val="29"/>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公司在氢能领域目前主要技术在制氢领域，目前在水催化裂解制氢领域取得了较为突出的突破性成就，下一步将重点延伸至储氢和氢气纯化领域，急需开发一种储氢密度高、放氢条件温和的储氢材料。</w:t>
            </w:r>
          </w:p>
          <w:p w14:paraId="4202941E">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39E87858">
            <w:pPr>
              <w:pStyle w:val="29"/>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公司已经构建氢能技术研发团队，团队具有副高级职称二人、中级职称三人，硕士以上研发人员五人，相关技术人员具有氢能领域的技术研发经验和能力。计划投资488万元构建一套制储氢系统，为将来的制储氢一体化应用奠定基础。</w:t>
            </w:r>
          </w:p>
          <w:p w14:paraId="27B41428">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17C5F416">
            <w:pPr>
              <w:pStyle w:val="29"/>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公司目前已搭建水制氢装置一套，分析校测仪器仪表三台，具备气体检测分析能力，以及加热设备能相关配套设备。</w:t>
            </w:r>
          </w:p>
          <w:p w14:paraId="46B58AFF">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51441E72">
            <w:pPr>
              <w:pStyle w:val="29"/>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公司在泾河新城智造创新产业园租赁了955万的生产研发基地，满足试验和催化剂制备条件。</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6FB52143">
            <w:pPr>
              <w:pStyle w:val="29"/>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rPr>
                <w:rFonts w:hint="eastAsia"/>
                <w:sz w:val="24"/>
              </w:rPr>
            </w:pPr>
            <w:r>
              <w:rPr>
                <w:rFonts w:hint="eastAsia" w:ascii="仿宋" w:hAnsi="仿宋" w:eastAsia="仿宋" w:cs="宋体"/>
                <w:kern w:val="2"/>
                <w:sz w:val="28"/>
                <w:szCs w:val="28"/>
                <w:lang w:val="en-US" w:eastAsia="zh-CN" w:bidi="ar-SA"/>
              </w:rPr>
              <w:t>希望与省内工科院校所和科技类企业开展合作。</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2"/>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6"/>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DE724A"/>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6">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9">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jc w:val="center"/>
    </w:pPr>
    <w:rPr>
      <w:rFonts w:ascii="仿宋_GB2312" w:hAnsi="Times New Roman" w:eastAsia="仿宋_GB2312" w:cs="新宋体"/>
      <w:color w:val="000000"/>
      <w:sz w:val="21"/>
      <w:szCs w:val="21"/>
      <w:lang w:val="en-US" w:eastAsia="zh-CN" w:bidi="ar-SA"/>
    </w:rPr>
  </w:style>
  <w:style w:type="paragraph" w:styleId="4">
    <w:name w:val="Title"/>
    <w:basedOn w:val="1"/>
    <w:qFormat/>
    <w:uiPriority w:val="0"/>
    <w:pPr>
      <w:spacing w:before="240" w:after="60"/>
      <w:jc w:val="center"/>
      <w:outlineLvl w:val="0"/>
    </w:pPr>
    <w:rPr>
      <w:rFonts w:ascii="Arial" w:hAnsi="Arial"/>
      <w:b/>
    </w:rPr>
  </w:style>
  <w:style w:type="paragraph" w:styleId="7">
    <w:name w:val="Normal Indent"/>
    <w:basedOn w:val="1"/>
    <w:qFormat/>
    <w:uiPriority w:val="0"/>
    <w:pPr>
      <w:ind w:firstLine="420" w:firstLineChars="0"/>
    </w:pPr>
    <w:rPr>
      <w:rFonts w:ascii="Calibri" w:hAnsi="Calibri" w:eastAsia="宋体" w:cs="Times New Roman"/>
      <w:sz w:val="21"/>
      <w:szCs w:val="20"/>
    </w:rPr>
  </w:style>
  <w:style w:type="paragraph" w:styleId="8">
    <w:name w:val="annotation text"/>
    <w:basedOn w:val="1"/>
    <w:link w:val="25"/>
    <w:qFormat/>
    <w:uiPriority w:val="0"/>
    <w:pPr>
      <w:jc w:val="left"/>
    </w:pPr>
  </w:style>
  <w:style w:type="paragraph" w:styleId="9">
    <w:name w:val="Body Text 3"/>
    <w:basedOn w:val="1"/>
    <w:qFormat/>
    <w:uiPriority w:val="0"/>
    <w:rPr>
      <w:rFonts w:ascii="仿宋_GB2312"/>
      <w:spacing w:val="-4"/>
      <w:sz w:val="16"/>
      <w:szCs w:val="16"/>
    </w:rPr>
  </w:style>
  <w:style w:type="paragraph" w:styleId="10">
    <w:name w:val="Body Text"/>
    <w:basedOn w:val="1"/>
    <w:qFormat/>
    <w:uiPriority w:val="0"/>
    <w:pPr>
      <w:spacing w:after="120"/>
    </w:pPr>
    <w:rPr>
      <w:rFonts w:ascii="Calibri" w:hAnsi="Calibri"/>
      <w:sz w:val="24"/>
    </w:rPr>
  </w:style>
  <w:style w:type="paragraph" w:styleId="11">
    <w:name w:val="Date"/>
    <w:basedOn w:val="1"/>
    <w:next w:val="1"/>
    <w:qFormat/>
    <w:uiPriority w:val="0"/>
    <w:pPr>
      <w:ind w:left="100" w:leftChars="2500"/>
    </w:pPr>
    <w:rPr>
      <w:sz w:val="28"/>
    </w:rPr>
  </w:style>
  <w:style w:type="paragraph" w:styleId="12">
    <w:name w:val="footer"/>
    <w:basedOn w:val="1"/>
    <w:link w:val="21"/>
    <w:qFormat/>
    <w:uiPriority w:val="0"/>
    <w:pPr>
      <w:tabs>
        <w:tab w:val="center" w:pos="4153"/>
        <w:tab w:val="right" w:pos="8306"/>
      </w:tabs>
      <w:snapToGrid w:val="0"/>
      <w:ind w:firstLine="0" w:firstLineChars="0"/>
      <w:jc w:val="left"/>
    </w:pPr>
    <w:rPr>
      <w:rFonts w:eastAsia="宋体"/>
      <w:sz w:val="2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0"/>
  </w:style>
  <w:style w:type="paragraph" w:styleId="15">
    <w:name w:val="annotation subject"/>
    <w:basedOn w:val="8"/>
    <w:next w:val="8"/>
    <w:link w:val="26"/>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
    <w:name w:val="Light Shading Accent 3"/>
    <w:basedOn w:val="16"/>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20">
    <w:name w:val="annotation reference"/>
    <w:basedOn w:val="19"/>
    <w:qFormat/>
    <w:uiPriority w:val="0"/>
    <w:rPr>
      <w:sz w:val="21"/>
      <w:szCs w:val="21"/>
    </w:rPr>
  </w:style>
  <w:style w:type="character" w:customStyle="1" w:styleId="21">
    <w:name w:val="页脚 字符"/>
    <w:basedOn w:val="19"/>
    <w:link w:val="12"/>
    <w:semiHidden/>
    <w:qFormat/>
    <w:uiPriority w:val="99"/>
    <w:rPr>
      <w:rFonts w:ascii="Times New Roman" w:hAnsi="Times New Roman" w:eastAsia="宋体"/>
      <w:sz w:val="28"/>
      <w:szCs w:val="18"/>
    </w:rPr>
  </w:style>
  <w:style w:type="paragraph" w:customStyle="1" w:styleId="22">
    <w:name w:val="List Paragraph1"/>
    <w:basedOn w:val="1"/>
    <w:qFormat/>
    <w:uiPriority w:val="0"/>
    <w:pPr>
      <w:ind w:firstLine="420"/>
    </w:pPr>
    <w:rPr>
      <w:rFonts w:ascii="Calibri" w:hAnsi="Calibri"/>
      <w:szCs w:val="22"/>
    </w:rPr>
  </w:style>
  <w:style w:type="paragraph" w:customStyle="1" w:styleId="23">
    <w:name w:val="列表段落1"/>
    <w:basedOn w:val="1"/>
    <w:unhideWhenUsed/>
    <w:qFormat/>
    <w:uiPriority w:val="99"/>
    <w:pPr>
      <w:ind w:firstLine="420"/>
    </w:pPr>
  </w:style>
  <w:style w:type="paragraph" w:styleId="24">
    <w:name w:val="List Paragraph"/>
    <w:basedOn w:val="1"/>
    <w:qFormat/>
    <w:uiPriority w:val="34"/>
    <w:pPr>
      <w:ind w:firstLine="420"/>
    </w:pPr>
  </w:style>
  <w:style w:type="character" w:customStyle="1" w:styleId="25">
    <w:name w:val="批注文字 字符"/>
    <w:basedOn w:val="19"/>
    <w:link w:val="8"/>
    <w:qFormat/>
    <w:uiPriority w:val="0"/>
    <w:rPr>
      <w:rFonts w:eastAsia="仿宋_GB2312" w:cstheme="minorBidi"/>
      <w:kern w:val="2"/>
      <w:sz w:val="32"/>
      <w:szCs w:val="24"/>
    </w:rPr>
  </w:style>
  <w:style w:type="character" w:customStyle="1" w:styleId="26">
    <w:name w:val="批注主题 字符"/>
    <w:basedOn w:val="25"/>
    <w:link w:val="15"/>
    <w:qFormat/>
    <w:uiPriority w:val="0"/>
    <w:rPr>
      <w:rFonts w:eastAsia="仿宋_GB2312" w:cstheme="minorBidi"/>
      <w:b/>
      <w:bCs/>
      <w:kern w:val="2"/>
      <w:sz w:val="32"/>
      <w:szCs w:val="24"/>
    </w:rPr>
  </w:style>
  <w:style w:type="paragraph" w:customStyle="1" w:styleId="27">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8">
    <w:name w:val="TableGrid"/>
    <w:qFormat/>
    <w:uiPriority w:val="0"/>
    <w:pPr>
      <w:spacing w:after="0" w:line="240" w:lineRule="auto"/>
    </w:pPr>
    <w:tblPr>
      <w:tblCellMar>
        <w:top w:w="0" w:type="dxa"/>
        <w:left w:w="0" w:type="dxa"/>
        <w:bottom w:w="0" w:type="dxa"/>
        <w:right w:w="0" w:type="dxa"/>
      </w:tblCellMar>
    </w:tblPr>
  </w:style>
  <w:style w:type="paragraph" w:customStyle="1" w:styleId="29">
    <w:name w:val="正文缩进1"/>
    <w:qFormat/>
    <w:uiPriority w:val="0"/>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2</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2025-07-23T13:52:34Z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BD7886F9E9ED46F3BB1AEB7D73443775_13</vt:lpwstr>
  </property>
  <property fmtid="{D5CDD505-2E9C-101B-9397-08002B2CF9AE}" pid="4" name="KSOTemplateDocerSaveRecord">
    <vt:lpwstr>eyJoZGlkIjoiNTQ1YTcwOTc1ZDUxNTcwOGNiZjNiNTdiY2QzOTc1YTgiLCJ1c2VySWQiOiI5NjYxMjMwNzMifQ==</vt:lpwstr>
  </property>
</Properties>
</file>