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32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智熔SLM真空盘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3D</w:t>
      </w:r>
      <w:r>
        <w:rPr>
          <w:rFonts w:hint="eastAsia" w:ascii="黑体" w:hAnsi="黑体" w:eastAsia="黑体"/>
          <w:b/>
          <w:bCs/>
          <w:kern w:val="0"/>
          <w:szCs w:val="32"/>
        </w:rPr>
        <w:t>打印系统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西安古石刃信息科技有限公司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新材料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35D8001C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设计并开发一套创新的激光扫描路径系统，旨在实现直径200mm、高50mm以内的真空吸盘一体化精准3D打印。通过优化激光系统的软硬件及扫描路径算法，确保打印过程中的高精度与效率，同时解决复杂内部结构成型、热应力引发的变形等问题，最终提供具备优异流道结构和性能的高质量真空吸盘样品，并配套完整的硬件、软件和技术文档成果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540346E1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（1）背景</w:t>
            </w:r>
          </w:p>
          <w:p w14:paraId="73C8DCF0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真空吸盘在工业自动化、半导体制造、精密搬运等领域广泛应用，但传统制造方式（如CNC加工+粘接）存在流道结构受限、气密性不足、成本高等问题。3D打印可一体化成型复杂内部流道，但现有激光扫描系统难以满足大尺寸（Φ200mm）、高精度（±20μm）、低变形的吸盘制造需求。因此，亟需开发创新的激光扫描路径系统，以突破复杂流道成型、热应力控制等瓶颈，推动高性能真空吸盘的定制化生产。</w:t>
            </w:r>
          </w:p>
          <w:p w14:paraId="0F9036D1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主要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应用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在以下领域：</w:t>
            </w:r>
          </w:p>
          <w:p w14:paraId="5EB7370B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​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工业自动化：用于机器人抓取、柔性生产线中的高稳定性真空吸盘。</w:t>
            </w:r>
          </w:p>
          <w:p w14:paraId="28F5D354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​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半导体与面板制造：满足晶圆、玻璃基板搬运所需的无尘、高气密性吸盘。</w:t>
            </w:r>
          </w:p>
          <w:p w14:paraId="0D24A2AA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​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医疗与生物工程：定制化负压吸附器械（如手术器械、细胞培养装置）。</w:t>
            </w:r>
          </w:p>
          <w:p w14:paraId="44A6A224">
            <w:pPr>
              <w:spacing w:line="360" w:lineRule="exact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新能源与航空航天：轻量化吸盘用于电池极片、复合材料部件的无损搬运。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4093F888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高精度扫描路径优化：需设计动态变功率激光控制算法，确保复杂流道结构（如微细孔、螺旋气道）的成型精度（±20μm以内）。路径规划需兼顾效率（如减少空行程）与热累积控制，避免因局部过热导致变形或层间剥离。</w:t>
            </w:r>
          </w:p>
          <w:p w14:paraId="3E526CA0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热应力与变形控制：吸盘内部流道结构（如薄壁、悬垂）易因非均匀冷却产生翘曲，需通过多激光束协同扫描或预热基板优化温度场分布。需开发实时形变监测与补偿算法（如结合红外热成像或激光位移传感器反馈）。</w:t>
            </w:r>
          </w:p>
          <w:p w14:paraId="7A17779F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材料-工艺匹配性：真空吸盘需高气密性，材料（如聚酰亚胺或特种工程塑料）的激光吸收率、熔融粘度需与打印参数（功率、扫描速度）精确匹配。流道内表面光洁度（Ra≤5μm）要求无熔渣残留，需优化惰性气体保护与激光后处理工艺。</w:t>
            </w:r>
          </w:p>
          <w:p w14:paraId="74C83F05">
            <w:pPr>
              <w:spacing w:line="360" w:lineRule="exact"/>
              <w:ind w:firstLine="562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（4）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软硬件协同集成：需开发多轴运动控制模块（如振镜+旋转台联动），支持大尺寸（Φ200mm）曲面打印的动态聚焦补偿。软件需整合拓扑优化算法（如生成轻量化流道结构）与实时路径纠偏功能。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0B5AD05C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①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材料性能 </w:t>
            </w:r>
          </w:p>
          <w:p w14:paraId="7E07462D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材料选择：常用不锈钢（如316L）、钛合金（Ti6Al4V）、铝合金（AlSi10Mg）等，需满足高强度、耐腐蚀、耐高温要求。力学性能：抗拉强度（≥500 MPa）、硬度（HRC 20-40）、延伸率（≥10%），具体取决于材料和后处理（如热处理）</w:t>
            </w: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气密性：真空泄漏率（≤1×10⁻⁵ mbar·L/s），确保吸盘在高压差下的密封性。 </w:t>
            </w:r>
          </w:p>
          <w:p w14:paraId="563A1E81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②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打印精度  </w:t>
            </w:r>
          </w:p>
          <w:p w14:paraId="542C77F6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尺寸公差：±0.1 mm（未经后处理），通过热处理或机加工可提升至±0.05 mm。表面粗糙度：Ra 10-20 μm，抛光后可降至Ra 0.8 μm以下。  </w:t>
            </w:r>
          </w:p>
          <w:p w14:paraId="2192823C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③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结构设计 </w:t>
            </w:r>
          </w:p>
          <w:p w14:paraId="77F19369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轻量化：通过拓扑优化减重20%-50%，同时保持结构强度</w:t>
            </w: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复杂内流道：支持一体化打印内部真空通道，减少组装接口，降低泄漏风险。  </w:t>
            </w:r>
          </w:p>
          <w:p w14:paraId="3B672B8E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④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工艺参数 </w:t>
            </w:r>
          </w:p>
          <w:p w14:paraId="5E215463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激光功率：100-400 W（根据材料调整）</w:t>
            </w: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层厚：30-50 μm，影响打印速度与表面质量</w:t>
            </w: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支撑结构：需优化以减少后处理难度和材料浪费。</w:t>
            </w:r>
          </w:p>
          <w:p w14:paraId="0BE41EB7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⑤</w:t>
            </w: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优化方向</w:t>
            </w:r>
          </w:p>
          <w:p w14:paraId="7377C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技术优化:采用仿真软件（如ANSYS）优化支撑结构和热应力分布，减少打印失败率。可开发低成本金属粉末（如球形铁基粉末）。后处理方式可以应用HIP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 xml:space="preserve"> 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2BD0541F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 xml:space="preserve">制造成本  </w:t>
            </w:r>
          </w:p>
          <w:p w14:paraId="58DB39C4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>设备成本：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单台制造成本≤4000元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>材料利用率：粉末回收率可达95%，但</w:t>
            </w: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>重复使用需筛分和测试（新增成本约5%-10%）</w:t>
            </w: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 xml:space="preserve">后处理成本：占总支出的20%-30%（包括去支撑、热处理、机加工等）。  </w:t>
            </w:r>
          </w:p>
          <w:p w14:paraId="01770D29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 xml:space="preserve">经济提升  </w:t>
            </w:r>
          </w:p>
          <w:p w14:paraId="0C0ED7C9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可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>共享制造平台分摊设备成本。  模块化设计实现部分标准化，降低单件成本。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  <w:t>通过技术突破（如高精度动态控制算法）与经济优化（如模块化设计），该系统可实现高气密性（泄漏率&lt;0.5Pa·L/s）与低成本（单台制造成本≤4000元）的平衡，推动其在工业自动化、半导体制造等领域的规模化应用</w:t>
            </w: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eastAsia="zh-CN"/>
              </w:rPr>
              <w:t>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4AE849CA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已分析规划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调研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1B6639B8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50万元，软硬件开发技术人员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467B0BC2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齐全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E09E3AC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有成熟的生产条件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/>
                <w:sz w:val="24"/>
              </w:rPr>
            </w:pPr>
            <w:r>
              <w:rPr>
                <w:rFonts w:hint="eastAsia" w:ascii="Times New Roman" w:hAnsi="Times New Roman" w:eastAsia="仿宋_GB2312"/>
                <w:b w:val="0"/>
                <w:bCs w:val="0"/>
                <w:sz w:val="28"/>
                <w:szCs w:val="28"/>
                <w:lang w:val="en-US" w:eastAsia="zh-CN"/>
              </w:rPr>
              <w:t>希望与相关理工类高校或科研院所开展产学研合作。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467CCC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6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2025-07-23T14:12:52Z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A21546FF4B7F4DBBBEAE0633D76DF2DA_13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