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36</w:t>
      </w:r>
      <w:r>
        <w:rPr>
          <w:rFonts w:hint="eastAsia" w:ascii="黑体" w:hAnsi="黑体" w:eastAsia="黑体"/>
          <w:b/>
          <w:bCs/>
          <w:kern w:val="0"/>
          <w:szCs w:val="32"/>
        </w:rPr>
        <w:t>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基于神经网络的智能机器人</w:t>
      </w:r>
      <w:bookmarkStart w:id="3" w:name="_GoBack"/>
      <w:bookmarkEnd w:id="3"/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强化学习（RL）技术研发</w:t>
      </w:r>
    </w:p>
    <w:tbl>
      <w:tblPr>
        <w:tblStyle w:val="1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陕西凌辉盛通信息科技有限公司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信息传输、软件和信息技术服务业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电子信息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6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41B24376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传统机器人多依赖预编程控制或基于规则的逻辑决策，需人工设计环境感知、动作规划等模块，难以应对动态复杂场景（如未知障碍物、物体形态变化）。例如，机械臂抓取任务中，传统方法需精确建模物体形状与力学特性，而真实世界中物体的多样性（大小、材质、摆放角度）会导致模型失效，缺乏泛化能力。</w:t>
            </w:r>
          </w:p>
          <w:p w14:paraId="02AA09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42D7015E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传统机器人控制方法在动态复杂场景中的局限性 —— 依赖预编程或人工规则，难以应对环境不确定性和任务多样性，而强化学习的自主试错机制与神经网络处理高维感知数据（如图像、点云）、建模连续动作空间的能力形成互补，加之 GPU 算力提升、模拟器发展等技术支撑，推动了 “感知 - 决策 - 控制” 端到端学习的实现。其应用领域广泛，包括工业场景中机械臂的自主抓取与装配，移动机器人的动态避障与路径规划，服务机器人的家庭服务与人机协作，特种机器人在危险环境中的作业，以及柔性、仿生机器人的运动控制等，核心是让机器人在复杂环境中自主学习并适应变化，完成传统方法难以实现的复杂任务。</w:t>
            </w:r>
          </w:p>
          <w:p w14:paraId="761EB3A1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4FA9B81B">
            <w:pPr>
              <w:spacing w:line="360" w:lineRule="exact"/>
              <w:ind w:firstLine="560"/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高维状态空间（如图像、点云）的有效特征提取需平衡信息保留与计算效率，连续动作空间的策略输出需兼顾机器人物理约束与梯度稳定性；样本效率低下问题突出，真实环境中试错成本高（硬件损耗、安全风险），模拟与真实环境的“Sim-to-Real”鸿沟难以弥合；稀疏奖励与奖励设计偏差易导致学习停滞或“奖励欺骗”；探索与利用的安全平衡困难，过度探索可能引发危险，过度利用则陷入局部最优；模型泛化能力弱，对环境变化（如光照、障碍物类型）敏感，跨场景迁移性能衰减显著。</w:t>
            </w:r>
          </w:p>
          <w:p w14:paraId="1212EB24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1544CF7D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（1）技术指标：</w:t>
            </w:r>
          </w:p>
          <w:p w14:paraId="2581C11F">
            <w:pPr>
              <w:spacing w:line="360" w:lineRule="exact"/>
              <w:ind w:firstLine="56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①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在标准测试环境中连续 100 次测试的成功率需≥90%；复杂任务单步骤成功率≥95%，全流程成功率≥85%。</w:t>
            </w:r>
          </w:p>
          <w:p w14:paraId="199299B8">
            <w:pPr>
              <w:spacing w:line="360" w:lineRule="exact"/>
              <w:ind w:firstLine="56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②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泛化测试：在训练未覆盖的场景（如新增障碍物、物体形状变化）中，成功率下降幅度≤20%（如标准场景 90%→新场景≥72%）。</w:t>
            </w:r>
          </w:p>
          <w:p w14:paraId="5AA5DA7C">
            <w:pPr>
              <w:spacing w:line="360" w:lineRule="exact"/>
              <w:ind w:firstLine="56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③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控制精度指标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：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在无动态干扰时，耗时不超过示范平均时间的 1.5 倍；动态环境中，耗时增加幅度≤50%。</w:t>
            </w:r>
          </w:p>
          <w:p w14:paraId="71AC2864">
            <w:pPr>
              <w:spacing w:line="360" w:lineRule="exact"/>
              <w:ind w:firstLine="56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④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动态障碍物（速度≤1m/s 的移动目标）下，避障成功率≥95%，无轨迹震荡（相邻路径点偏移≤10cm）；环境参数变化（地面摩擦系数 ±30% 波动）时，任务完成率≥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90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%，无打滑或停滞。</w:t>
            </w:r>
          </w:p>
          <w:p w14:paraId="17B0A641">
            <w:pPr>
              <w:spacing w:line="360" w:lineRule="exact"/>
              <w:ind w:firstLine="56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⑤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连续运行 100 小时或 1000 次任务中，与障碍物 / 人类的碰撞次数≤1 次，且碰撞冲击力≤安全阈值（对人体≤50N，对设备≤200N）；</w:t>
            </w:r>
          </w:p>
          <w:p w14:paraId="60EE33A3">
            <w:pPr>
              <w:spacing w:line="360" w:lineRule="exact"/>
              <w:ind w:firstLine="56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⑥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触发急停信号（红外检测到人体靠近≤50cm）后，机器人在≤0.5s 内停止运动，且制动距离≤10cm（移动机器人）或关节锁死（机械臂）。</w:t>
            </w:r>
          </w:p>
          <w:p w14:paraId="0A0B6617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⑦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从传感器数据输入到控制指令输出的端到端延迟≤100ms（移动机器人）或 50ms（机械臂），满足动态环境响应需求；</w:t>
            </w:r>
          </w:p>
          <w:p w14:paraId="5B71E4DC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（2）经济指标：</w:t>
            </w:r>
          </w:p>
          <w:p w14:paraId="40A1B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预算投入研发费用150万元，研发周期要求11个月。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E6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开展的工作</w:t>
            </w:r>
          </w:p>
          <w:p w14:paraId="293224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需求分析与技术调研</w:t>
            </w:r>
          </w:p>
          <w:p w14:paraId="5F4929F5">
            <w:pPr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所处阶段</w:t>
            </w:r>
          </w:p>
          <w:p w14:paraId="687D95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需求分析阶段</w:t>
            </w:r>
          </w:p>
          <w:p w14:paraId="4202941E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投入资金和人才</w:t>
            </w:r>
          </w:p>
          <w:p w14:paraId="6AC64D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目前企业有研发团队3人，预计投入资金150万用于研发。</w:t>
            </w:r>
          </w:p>
          <w:p w14:paraId="27B41428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仪器设备</w:t>
            </w:r>
          </w:p>
          <w:p w14:paraId="09BB77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机器人平台，传感器等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BA6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希望与智能机器人的强化学习方面有相关成熟技术的高校、科研院所、企业的老师和专家开展产学研合作。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DE30A46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046AF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593F83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3F3520"/>
    <w:rsid w:val="3A582968"/>
    <w:rsid w:val="3A7D7406"/>
    <w:rsid w:val="3AC004AF"/>
    <w:rsid w:val="3ADC2D33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983742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042F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186A79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053DAA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7">
    <w:name w:val="annotation text"/>
    <w:basedOn w:val="1"/>
    <w:link w:val="24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annotation subject"/>
    <w:basedOn w:val="7"/>
    <w:next w:val="7"/>
    <w:link w:val="25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Light Shading Accent 3"/>
    <w:basedOn w:val="15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19">
    <w:name w:val="annotation reference"/>
    <w:basedOn w:val="18"/>
    <w:qFormat/>
    <w:uiPriority w:val="0"/>
    <w:rPr>
      <w:sz w:val="21"/>
      <w:szCs w:val="21"/>
    </w:rPr>
  </w:style>
  <w:style w:type="character" w:customStyle="1" w:styleId="20">
    <w:name w:val="页脚 字符"/>
    <w:basedOn w:val="18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1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2">
    <w:name w:val="列表段落1"/>
    <w:basedOn w:val="1"/>
    <w:unhideWhenUsed/>
    <w:qFormat/>
    <w:uiPriority w:val="99"/>
    <w:pPr>
      <w:ind w:firstLine="420"/>
    </w:pPr>
  </w:style>
  <w:style w:type="paragraph" w:styleId="23">
    <w:name w:val="List Paragraph"/>
    <w:basedOn w:val="1"/>
    <w:qFormat/>
    <w:uiPriority w:val="34"/>
    <w:pPr>
      <w:ind w:firstLine="420"/>
    </w:pPr>
  </w:style>
  <w:style w:type="character" w:customStyle="1" w:styleId="24">
    <w:name w:val="批注文字 字符"/>
    <w:basedOn w:val="18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5">
    <w:name w:val="批注主题 字符"/>
    <w:basedOn w:val="24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7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1437</Words>
  <Characters>1522</Characters>
  <Lines>27</Lines>
  <Paragraphs>7</Paragraphs>
  <TotalTime>1</TotalTime>
  <ScaleCrop>false</ScaleCrop>
  <LinksUpToDate>false</LinksUpToDate>
  <CharactersWithSpaces>1574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2025-07-24T04:42:35Z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77615E019FA64445B521E721D98AA35F_13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