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42</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特定场景下智能无人车关键技术研发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西安赛克斯物联网有限公司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水利、环境和公共设施管理业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2DC599B">
            <w:pPr>
              <w:pStyle w:val="23"/>
              <w:widowControl w:val="0"/>
              <w:numPr>
                <w:ilvl w:val="0"/>
                <w:numId w:val="0"/>
              </w:numPr>
              <w:spacing w:line="360" w:lineRule="exact"/>
              <w:ind w:firstLine="480"/>
              <w:jc w:val="both"/>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企业在垃圾智能回收和医废垃圾转运方面具有成熟的市场渠道和产品体系，结合场景需求，为了进一步提高产品的智能化程度和回收与转运的效率，计划升级相关设备，使其在特定场景下可以自行运动，完成回收和转运的功能。因此结合产品所应用的场景和功能需求，特提出以下拟解决的相关技术问题：</w:t>
            </w:r>
          </w:p>
          <w:p w14:paraId="700F156C">
            <w:pPr>
              <w:pStyle w:val="23"/>
              <w:widowControl w:val="0"/>
              <w:numPr>
                <w:ilvl w:val="0"/>
                <w:numId w:val="0"/>
              </w:numPr>
              <w:spacing w:line="360" w:lineRule="exact"/>
              <w:ind w:firstLine="480"/>
              <w:jc w:val="both"/>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（1）无人车技术须具备视觉识别和激光（毫米波）雷达的双重识别技术</w:t>
            </w:r>
            <w:r>
              <w:rPr>
                <w:rFonts w:hint="default" w:ascii="仿宋" w:hAnsi="仿宋" w:eastAsia="仿宋" w:cs="宋体"/>
                <w:sz w:val="28"/>
                <w:szCs w:val="28"/>
                <w:lang w:val="en-US" w:eastAsia="zh-CN"/>
              </w:rPr>
              <w:t>。</w:t>
            </w:r>
          </w:p>
          <w:p w14:paraId="1F27D235">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（2）无人车技术使用的算法运行所需的硬件配置不能过高，硬件成本控制在万元级别以内；</w:t>
            </w:r>
          </w:p>
          <w:p w14:paraId="1151AF51">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（3）无人车技术在特定场景下对于障碍物和道路减速带以及其他影响运行的物体可以精准识别，识别率&gt;99%;</w:t>
            </w:r>
          </w:p>
          <w:p w14:paraId="15CF4E41">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（4）无人车算法需具备防抖和安全保护措施，不能触发不安全行为；</w:t>
            </w:r>
          </w:p>
          <w:p w14:paraId="64143DAE">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（5）无人车技术需要兼容现有产品设备的硬件控制系统，要求对接联调成本较低，不对现有硬件产品做较大改动。实现模块化组装配套。</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3735A540">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企业在工厂、医院、校园，公园，景区、游览街区等相对固定的区域投放有智能回收箱，医废转运车，固废收集车等设备。为了更好的服务客户，实现降本增效，公司拟对相关产品进行无人驾驶方面的升级改造。</w:t>
            </w:r>
          </w:p>
          <w:p w14:paraId="4D9E117B">
            <w:pPr>
              <w:pStyle w:val="23"/>
              <w:widowControl w:val="0"/>
              <w:numPr>
                <w:ilvl w:val="0"/>
                <w:numId w:val="0"/>
              </w:numPr>
              <w:spacing w:line="360" w:lineRule="exact"/>
              <w:ind w:firstLine="480"/>
              <w:jc w:val="both"/>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因为设备所处的环境区域相对固定，在一定区域内行驶，因此进行无人车改造的设备一方面需要满足兼容现有产品主控系统的要求，另一方面需要在场景中安全行驶，确保人员和游客安全的前提下，实现无人车自由行走</w:t>
            </w:r>
            <w:r>
              <w:rPr>
                <w:rFonts w:hint="default" w:ascii="仿宋" w:hAnsi="仿宋" w:eastAsia="仿宋" w:cs="宋体"/>
                <w:sz w:val="28"/>
                <w:szCs w:val="28"/>
                <w:lang w:val="en-US" w:eastAsia="zh-CN"/>
              </w:rPr>
              <w:t>。</w:t>
            </w:r>
          </w:p>
          <w:p w14:paraId="2006AB71">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未来升级后的产品可以在工业园区，医院，校园，景区等多个场景实现转运，回收等自主行动功能，降低管理方在维护方面的人力成本。</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96D98A8">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（1）充分考虑环境中如何安全运行不影响周围人员安全；</w:t>
            </w:r>
          </w:p>
          <w:p w14:paraId="615C6816">
            <w:pPr>
              <w:pStyle w:val="23"/>
              <w:widowControl w:val="0"/>
              <w:numPr>
                <w:ilvl w:val="0"/>
                <w:numId w:val="0"/>
              </w:numPr>
              <w:spacing w:line="360" w:lineRule="exact"/>
              <w:ind w:firstLine="480"/>
              <w:jc w:val="both"/>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（2）充分考虑特定环境下对于如爬在地上的人或者动物的安全识别；</w:t>
            </w:r>
          </w:p>
          <w:p w14:paraId="0ACC409A">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（3）充分考虑算法如何在相对低配置（万元以内）的硬件环境下运行并能够输出可靠的结果；</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2E88D81F">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（1）低速运行（速度&lt;20KM/H)对于周围环境和物体的识别率不能出现错误；</w:t>
            </w:r>
          </w:p>
          <w:p w14:paraId="54D3827C">
            <w:pPr>
              <w:pStyle w:val="23"/>
              <w:widowControl w:val="0"/>
              <w:numPr>
                <w:ilvl w:val="0"/>
                <w:numId w:val="0"/>
              </w:numPr>
              <w:spacing w:line="360" w:lineRule="exact"/>
              <w:ind w:firstLine="480"/>
              <w:jc w:val="both"/>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（2）算法运行的响应时间在1ms以内。</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71A194E6">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基础的设备原型已经具备，具备智能算法导入的基础条件</w:t>
            </w:r>
            <w:r>
              <w:rPr>
                <w:rFonts w:hint="default" w:ascii="仿宋" w:hAnsi="仿宋" w:eastAsia="仿宋" w:cs="宋体"/>
                <w:sz w:val="28"/>
                <w:szCs w:val="28"/>
                <w:lang w:val="en-US" w:eastAsia="zh-CN"/>
              </w:rPr>
              <w:t>。</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4FCBFA7A">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算法研究初始阶段。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围绕相关需求，已投入50万。</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widowControl w:val="0"/>
              <w:numPr>
                <w:ilvl w:val="0"/>
                <w:numId w:val="0"/>
              </w:numPr>
              <w:spacing w:line="360" w:lineRule="exact"/>
              <w:ind w:firstLine="48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高性能AI算力主板等</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293E7445">
            <w:pPr>
              <w:pStyle w:val="23"/>
              <w:widowControl w:val="0"/>
              <w:numPr>
                <w:ilvl w:val="0"/>
                <w:numId w:val="0"/>
              </w:numPr>
              <w:spacing w:line="360" w:lineRule="exact"/>
              <w:jc w:val="both"/>
              <w:rPr>
                <w:rFonts w:hint="eastAsia"/>
                <w:sz w:val="24"/>
              </w:rPr>
            </w:pPr>
            <w:r>
              <w:rPr>
                <w:rFonts w:hint="eastAsia" w:ascii="仿宋" w:hAnsi="仿宋" w:eastAsia="仿宋" w:cs="宋体"/>
                <w:sz w:val="28"/>
                <w:szCs w:val="28"/>
                <w:lang w:val="en-US" w:eastAsia="zh-CN"/>
              </w:rPr>
              <w:t>无</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AC11AAE"/>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2025-07-23T14:52:16Z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617D84A45186490D814A3807FE9E45E4_13</vt:lpwstr>
  </property>
  <property fmtid="{D5CDD505-2E9C-101B-9397-08002B2CF9AE}" pid="4" name="KSOTemplateDocerSaveRecord">
    <vt:lpwstr>eyJoZGlkIjoiNTQ1YTcwOTc1ZDUxNTcwOGNiZjNiNTdiY2QzOTc1YTgiLCJ1c2VySWQiOiI5NjYxMjMwNzMifQ==</vt:lpwstr>
  </property>
</Properties>
</file>