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43</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复杂交互任务场景下视觉驱动的仿生机械臂关键技术研发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西安赛克斯物联网有限公司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水利、环境和公共设施管理业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2230CF44">
            <w:pPr>
              <w:spacing w:line="360" w:lineRule="exact"/>
              <w:ind w:firstLine="56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工业机械臂是工业自动化领域的核心设备之一，展现了高精度、多输入、多输出、高度非线性、强耦合的复杂软硬件组合特性。仿生机械臂是工业机械臂的重要分支，也是具身智能的重要方向之一。主要应用于依赖人工操作的高空、高危、腐蚀性等生产场景，需要技术人员与机械臂实时交互，执行各类型复杂操作，应对动态生产过程等。而实现仿生机械臂的实时精准控制人，仍面临如下行业技术问题：</w:t>
            </w:r>
          </w:p>
          <w:p w14:paraId="31C35B10">
            <w:pPr>
              <w:spacing w:line="360" w:lineRule="exact"/>
              <w:ind w:firstLine="56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（1）</w:t>
            </w:r>
            <w:r>
              <w:rPr>
                <w:rFonts w:hint="default" w:ascii="仿宋" w:hAnsi="仿宋" w:eastAsia="仿宋" w:cs="宋体"/>
                <w:sz w:val="28"/>
                <w:szCs w:val="28"/>
                <w:lang w:val="en-US" w:eastAsia="zh-CN"/>
              </w:rPr>
              <w:t>依赖于数据手套、操作杆等硬件设备来实现人机交互和控制。这些硬件设备在特定应用场景下可以提供相对准确的控制，但使用时应由专业编程人员进行培训和控制，需要较多的技术支持，对非专业人员使用门槛较高。一些中小型企业由于成本和技术门槛的限制，难以充分享受工业机械臂带来的生产效益。</w:t>
            </w:r>
          </w:p>
          <w:p w14:paraId="5B2EA8C5">
            <w:pPr>
              <w:spacing w:line="360" w:lineRule="exact"/>
              <w:ind w:firstLine="56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（2）</w:t>
            </w:r>
            <w:r>
              <w:rPr>
                <w:rFonts w:hint="default" w:ascii="仿宋" w:hAnsi="仿宋" w:eastAsia="仿宋" w:cs="宋体"/>
                <w:sz w:val="28"/>
                <w:szCs w:val="28"/>
                <w:lang w:val="en-US" w:eastAsia="zh-CN"/>
              </w:rPr>
              <w:t>指令模式仅支持单模态指令，只能接收和执行单一模式的指令，例如基于文字指令。但当需要控制工业机械臂在某些复杂任务中进行精确操作时，单模态指令的限制会导致工业机械臂表现不佳。为了提高工业机械臂的灵活性和多样化应用能力，需要研发支持多模态指令的控制系统，降低工业机械臂工作效率和质量。</w:t>
            </w:r>
          </w:p>
          <w:p w14:paraId="1523410F">
            <w:pPr>
              <w:spacing w:line="360" w:lineRule="exact"/>
              <w:ind w:firstLine="560"/>
              <w:rPr>
                <w:rFonts w:ascii="Times New Roman" w:hAnsi="Times New Roman" w:eastAsia="仿宋_GB2312"/>
                <w:sz w:val="24"/>
              </w:rPr>
            </w:pPr>
            <w:r>
              <w:rPr>
                <w:rFonts w:hint="eastAsia" w:ascii="仿宋" w:hAnsi="仿宋" w:eastAsia="仿宋" w:cs="宋体"/>
                <w:sz w:val="28"/>
                <w:szCs w:val="28"/>
                <w:lang w:val="en-US" w:eastAsia="zh-CN"/>
              </w:rPr>
              <w:t>（3）</w:t>
            </w:r>
            <w:r>
              <w:rPr>
                <w:rFonts w:hint="default" w:ascii="仿宋" w:hAnsi="仿宋" w:eastAsia="仿宋" w:cs="宋体"/>
                <w:sz w:val="28"/>
                <w:szCs w:val="28"/>
                <w:lang w:val="en-US" w:eastAsia="zh-CN"/>
              </w:rPr>
              <w:t>难以实现多个工业机械臂的协同工作。由于技术标准缺乏统一和互操作性的问题，不同厂商生产的工业机械臂必须通过复杂的编程和调试才能实现有效的协同工作，这大大增加了系统集成的难度和成本。但在很多应用场景中，往往需要多个工业机械臂协同工作来完成复杂任务。</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01D80706">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机械臂是工业自动化领域的核心设备之一，其灵活的运动和高效的自动化特性使其在现代制造业中成为不可或缺的重要组成部分。</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 xml:space="preserve">具备仿人手臂、手腕和手功能的机械电子装置身份，能够根据时变的空间位姿需求移动任何物体或工具，从而满足工业生产中的各种作业要求，如夹持焊钳或焊枪、对汽车或摩托车车体进行点焊或弧焊、搬运压铸或冲压成型的零件或构件、进行激光切割、喷涂，以及装配机械零部件等等。其在工业领域应用广泛，为生产流程提供了高度的灵活性和效率，其多功能性使其适用于多种生产需求，从而推动了现代工业制造的不断发展。 </w:t>
            </w:r>
          </w:p>
          <w:p w14:paraId="7AF8EFC2">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同时，我国也高度重视</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的发展，连续出台了一系列相关政策，包括《智能制造发展规划》和《关于促进工业经济平稳增长的若干政策》等文件，推动制定行业相关规范和标准，充分体现了政府对</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行业的全面支持和引导。以推动我国产业升级、提升</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的产量，提升我国</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的核心竞争能力，推动行业快速发展。</w:t>
            </w:r>
          </w:p>
          <w:p w14:paraId="20635233">
            <w:pPr>
              <w:spacing w:line="360" w:lineRule="exact"/>
              <w:ind w:firstLine="562"/>
              <w:rPr>
                <w:rFonts w:hint="default" w:ascii="Times New Roman" w:hAnsi="Times New Roman" w:eastAsia="仿宋_GB2312"/>
                <w:sz w:val="24"/>
                <w:lang w:val="en-US" w:eastAsia="zh-CN"/>
              </w:rPr>
            </w:pPr>
            <w:r>
              <w:rPr>
                <w:rFonts w:hint="default" w:ascii="仿宋" w:hAnsi="仿宋" w:eastAsia="仿宋" w:cs="宋体"/>
                <w:kern w:val="2"/>
                <w:sz w:val="28"/>
                <w:szCs w:val="28"/>
                <w:lang w:val="en-US" w:eastAsia="zh-CN" w:bidi="ar-SA"/>
              </w:rPr>
              <w:t>在上述政策引导和支持下，国内制造业对于</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的需求也在不断增加。当前，人工智能和机器人技术的快速进步，为我国</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行业带来了广阔的发展前景。我国</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行业将继续保持快速发展态势，产业规模有望进一步扩大。根据202</w:t>
            </w:r>
            <w:r>
              <w:rPr>
                <w:rFonts w:hint="eastAsia" w:ascii="仿宋" w:hAnsi="仿宋" w:eastAsia="仿宋" w:cs="宋体"/>
                <w:kern w:val="2"/>
                <w:sz w:val="28"/>
                <w:szCs w:val="28"/>
                <w:lang w:val="en-US" w:eastAsia="zh-CN" w:bidi="ar-SA"/>
              </w:rPr>
              <w:t>4</w:t>
            </w:r>
            <w:r>
              <w:rPr>
                <w:rFonts w:hint="default" w:ascii="仿宋" w:hAnsi="仿宋" w:eastAsia="仿宋" w:cs="宋体"/>
                <w:kern w:val="2"/>
                <w:sz w:val="28"/>
                <w:szCs w:val="28"/>
                <w:lang w:val="en-US" w:eastAsia="zh-CN" w:bidi="ar-SA"/>
              </w:rPr>
              <w:t>年统计数据显示，我国</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市场规模接近178.3亿元，同比增长6.26%。相较202</w:t>
            </w:r>
            <w:r>
              <w:rPr>
                <w:rFonts w:hint="eastAsia" w:ascii="仿宋" w:hAnsi="仿宋" w:eastAsia="仿宋" w:cs="宋体"/>
                <w:kern w:val="2"/>
                <w:sz w:val="28"/>
                <w:szCs w:val="28"/>
                <w:lang w:val="en-US" w:eastAsia="zh-CN" w:bidi="ar-SA"/>
              </w:rPr>
              <w:t>3</w:t>
            </w:r>
            <w:r>
              <w:rPr>
                <w:rFonts w:hint="default" w:ascii="仿宋" w:hAnsi="仿宋" w:eastAsia="仿宋" w:cs="宋体"/>
                <w:kern w:val="2"/>
                <w:sz w:val="28"/>
                <w:szCs w:val="28"/>
                <w:lang w:val="en-US" w:eastAsia="zh-CN" w:bidi="ar-SA"/>
              </w:rPr>
              <w:t>年，市场规模增长了1.2倍，年复合增长率接近11.79%。这充分表明我国</w:t>
            </w:r>
            <w:r>
              <w:rPr>
                <w:rFonts w:hint="eastAsia" w:ascii="仿宋" w:hAnsi="仿宋" w:eastAsia="仿宋" w:cs="宋体"/>
                <w:kern w:val="2"/>
                <w:sz w:val="28"/>
                <w:szCs w:val="28"/>
                <w:lang w:val="en-US" w:eastAsia="zh-CN" w:bidi="ar-SA"/>
              </w:rPr>
              <w:t>仿生机械臂</w:t>
            </w:r>
            <w:r>
              <w:rPr>
                <w:rFonts w:hint="default" w:ascii="仿宋" w:hAnsi="仿宋" w:eastAsia="仿宋" w:cs="宋体"/>
                <w:kern w:val="2"/>
                <w:sz w:val="28"/>
                <w:szCs w:val="28"/>
                <w:lang w:val="en-US" w:eastAsia="zh-CN" w:bidi="ar-SA"/>
              </w:rPr>
              <w:t>市场正在稳步发展，为整个制造业的升级和创新提供了有力支持。</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770CD0EA">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（1）手势的交叉、遮挡严重影响手势识别准确性</w:t>
            </w:r>
          </w:p>
          <w:p w14:paraId="771593B0">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复杂工业场景下的手势识别面临的多重挑战，其中包括皮肤特征相似、手部自遮挡、手型、姿态、物体遮挡以及光线照射角度等问题，在光照受限、存在物体遮挡、手部自遮挡以及特征相似的情况下，难以重建手部姿态，无法满足工业生产任务对于手部操作的需求。</w:t>
            </w:r>
          </w:p>
          <w:p w14:paraId="24243C58">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（2）多模态指令数据的高维异构特征难以融合</w:t>
            </w:r>
          </w:p>
          <w:p w14:paraId="4A5FD701">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多模态的指令数据具有超稀疏、超高维、复杂异构等特点，存在数据割裂、交互特征难以提取、难以实现语义级理解，导致无法挖掘量化、协同的控制信息，也就难以满足机械臂实时交互控制的实际应用需求。</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4D3827C">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建立</w:t>
            </w:r>
            <w:r>
              <w:rPr>
                <w:rFonts w:hint="eastAsia" w:ascii="仿宋" w:hAnsi="仿宋" w:eastAsia="仿宋" w:cs="宋体"/>
                <w:kern w:val="2"/>
                <w:sz w:val="28"/>
                <w:szCs w:val="28"/>
                <w:lang w:val="en-US" w:eastAsia="zh-CN" w:bidi="ar-SA"/>
              </w:rPr>
              <w:t>视觉驱动的仿生</w:t>
            </w:r>
            <w:r>
              <w:rPr>
                <w:rFonts w:hint="default" w:ascii="仿宋" w:hAnsi="仿宋" w:eastAsia="仿宋" w:cs="宋体"/>
                <w:kern w:val="2"/>
                <w:sz w:val="28"/>
                <w:szCs w:val="28"/>
                <w:lang w:val="en-US" w:eastAsia="zh-CN" w:bidi="ar-SA"/>
              </w:rPr>
              <w:t>机械臂控制</w:t>
            </w:r>
            <w:r>
              <w:rPr>
                <w:rFonts w:hint="eastAsia" w:ascii="仿宋" w:hAnsi="仿宋" w:eastAsia="仿宋" w:cs="宋体"/>
                <w:kern w:val="2"/>
                <w:sz w:val="28"/>
                <w:szCs w:val="28"/>
                <w:lang w:val="en-US" w:eastAsia="zh-CN" w:bidi="ar-SA"/>
              </w:rPr>
              <w:t>技术体系</w:t>
            </w:r>
            <w:r>
              <w:rPr>
                <w:rFonts w:hint="default" w:ascii="仿宋" w:hAnsi="仿宋" w:eastAsia="仿宋" w:cs="宋体"/>
                <w:kern w:val="2"/>
                <w:sz w:val="28"/>
                <w:szCs w:val="28"/>
                <w:lang w:val="en-US" w:eastAsia="zh-CN" w:bidi="ar-SA"/>
              </w:rPr>
              <w:t>，并在工业企业进行验证和应用。</w:t>
            </w:r>
            <w:r>
              <w:rPr>
                <w:rFonts w:hint="eastAsia" w:ascii="仿宋" w:hAnsi="仿宋" w:eastAsia="仿宋" w:cs="宋体"/>
                <w:kern w:val="2"/>
                <w:sz w:val="28"/>
                <w:szCs w:val="28"/>
                <w:lang w:val="en-US" w:eastAsia="zh-CN" w:bidi="ar-SA"/>
              </w:rPr>
              <w:t>仿生</w:t>
            </w:r>
            <w:r>
              <w:rPr>
                <w:rFonts w:hint="default" w:ascii="仿宋" w:hAnsi="仿宋" w:eastAsia="仿宋" w:cs="宋体"/>
                <w:kern w:val="2"/>
                <w:sz w:val="28"/>
                <w:szCs w:val="28"/>
                <w:lang w:val="en-US" w:eastAsia="zh-CN" w:bidi="ar-SA"/>
              </w:rPr>
              <w:t>机械臂控制系统的关节位置误差和顶点位置误差小于</w:t>
            </w:r>
            <w:r>
              <w:rPr>
                <w:rFonts w:hint="eastAsia" w:ascii="仿宋" w:hAnsi="仿宋" w:eastAsia="仿宋" w:cs="宋体"/>
                <w:kern w:val="2"/>
                <w:sz w:val="28"/>
                <w:szCs w:val="28"/>
                <w:lang w:val="en-US" w:eastAsia="zh-CN" w:bidi="ar-SA"/>
              </w:rPr>
              <w:t>10</w:t>
            </w:r>
            <w:r>
              <w:rPr>
                <w:rFonts w:hint="default" w:ascii="仿宋" w:hAnsi="仿宋" w:eastAsia="仿宋" w:cs="宋体"/>
                <w:kern w:val="2"/>
                <w:sz w:val="28"/>
                <w:szCs w:val="28"/>
                <w:lang w:val="en-US" w:eastAsia="zh-CN" w:bidi="ar-SA"/>
              </w:rPr>
              <w:t>mm，</w:t>
            </w:r>
            <w:r>
              <w:rPr>
                <w:rFonts w:hint="eastAsia" w:ascii="仿宋" w:hAnsi="仿宋" w:eastAsia="仿宋" w:cs="宋体"/>
                <w:kern w:val="2"/>
                <w:sz w:val="28"/>
                <w:szCs w:val="28"/>
                <w:lang w:val="en-US" w:eastAsia="zh-CN" w:bidi="ar-SA"/>
              </w:rPr>
              <w:t>平均网格误差小于8.0mm，</w:t>
            </w:r>
            <w:r>
              <w:rPr>
                <w:rFonts w:hint="default" w:ascii="仿宋" w:hAnsi="仿宋" w:eastAsia="仿宋" w:cs="宋体"/>
                <w:kern w:val="2"/>
                <w:sz w:val="28"/>
                <w:szCs w:val="28"/>
                <w:lang w:val="en-US" w:eastAsia="zh-CN" w:bidi="ar-SA"/>
              </w:rPr>
              <w:t>三维姿态重建PCK≥90%，</w:t>
            </w:r>
            <w:r>
              <w:rPr>
                <w:rFonts w:hint="eastAsia" w:ascii="仿宋" w:hAnsi="仿宋" w:eastAsia="仿宋" w:cs="宋体"/>
                <w:kern w:val="2"/>
                <w:sz w:val="28"/>
                <w:szCs w:val="28"/>
                <w:lang w:val="en-US" w:eastAsia="zh-CN" w:bidi="ar-SA"/>
              </w:rPr>
              <w:t>在仿生机械臂控制领域形成自主知识产权</w:t>
            </w:r>
            <w:r>
              <w:rPr>
                <w:rFonts w:hint="default" w:ascii="仿宋" w:hAnsi="仿宋" w:eastAsia="仿宋" w:cs="宋体"/>
                <w:kern w:val="2"/>
                <w:sz w:val="28"/>
                <w:szCs w:val="28"/>
                <w:lang w:val="en-US" w:eastAsia="zh-CN" w:bidi="ar-SA"/>
              </w:rPr>
              <w:t>，申请发明专利</w:t>
            </w:r>
            <w:r>
              <w:rPr>
                <w:rFonts w:hint="eastAsia" w:ascii="仿宋" w:hAnsi="仿宋" w:eastAsia="仿宋" w:cs="宋体"/>
                <w:kern w:val="2"/>
                <w:sz w:val="28"/>
                <w:szCs w:val="28"/>
                <w:lang w:val="en-US" w:eastAsia="zh-CN" w:bidi="ar-SA"/>
              </w:rPr>
              <w:t>≥</w:t>
            </w:r>
            <w:r>
              <w:rPr>
                <w:rFonts w:hint="default" w:ascii="仿宋" w:hAnsi="仿宋" w:eastAsia="仿宋" w:cs="宋体"/>
                <w:kern w:val="2"/>
                <w:sz w:val="28"/>
                <w:szCs w:val="28"/>
                <w:lang w:val="en-US" w:eastAsia="zh-CN" w:bidi="ar-SA"/>
              </w:rPr>
              <w:t>5项，软件著作权</w:t>
            </w:r>
            <w:r>
              <w:rPr>
                <w:rFonts w:hint="eastAsia" w:ascii="仿宋" w:hAnsi="仿宋" w:eastAsia="仿宋" w:cs="宋体"/>
                <w:kern w:val="2"/>
                <w:sz w:val="28"/>
                <w:szCs w:val="28"/>
                <w:lang w:val="en-US" w:eastAsia="zh-CN" w:bidi="ar-SA"/>
              </w:rPr>
              <w:t>≥</w:t>
            </w:r>
            <w:r>
              <w:rPr>
                <w:rFonts w:hint="default" w:ascii="仿宋" w:hAnsi="仿宋" w:eastAsia="仿宋" w:cs="宋体"/>
                <w:kern w:val="2"/>
                <w:sz w:val="28"/>
                <w:szCs w:val="28"/>
                <w:lang w:val="en-US" w:eastAsia="zh-CN" w:bidi="ar-SA"/>
              </w:rPr>
              <w:t>10项</w:t>
            </w:r>
            <w:r>
              <w:rPr>
                <w:rFonts w:hint="eastAsia" w:ascii="仿宋" w:hAnsi="仿宋" w:eastAsia="仿宋" w:cs="宋体"/>
                <w:kern w:val="2"/>
                <w:sz w:val="28"/>
                <w:szCs w:val="28"/>
                <w:lang w:val="en-US" w:eastAsia="zh-CN" w:bidi="ar-SA"/>
              </w:rPr>
              <w:t>。</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75C3F02D">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在对当前工业机械臂的核心技术、工业业务智能配置进行广泛调研与综合分析，开展了一些阶段性的工作。研究成果中的一部分已经发表在国际重要学术期刊上以及重要的会议，其中发表JCR1区、CCF A类期刊等学术论文10余篇，主持相关的国家重点研发计划项目、国家自然科学基金项目等4项，申请相关国家发明专利5项，相关工作的开展一方面验证了本项目的可行性，为本项目的后续工作开展提供了基础，而且显示了本项目的相关内容研究的紧迫性。</w:t>
            </w:r>
          </w:p>
          <w:p w14:paraId="002F7124">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（1）手势姿态重建与识别</w:t>
            </w:r>
          </w:p>
          <w:p w14:paraId="30C280A2">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对于从单张RGB图像中重建手部姿态，该方法将手部模型的顶点视为图结构，用于学习顶点之间的连接关系。在这个框架中，引入了两个新模块。第一个是多分支图像特征提取模块，用于获取准确的手部特征。第二个模块是多层次双手交互模块，用于融合交互手部信息以增强交互边缘的注意力特征，并融合顶点关系以确定交互手部之间的遮挡关系。</w:t>
            </w:r>
          </w:p>
          <w:p w14:paraId="47317F16">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(2) 在多模态数据处理方面</w:t>
            </w:r>
          </w:p>
          <w:p w14:paraId="0D31A8E1">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围绕多模态数据处理，提出了基于Transformer和低秩方法的细粒度多模态数据分析方法体系。旨在发挥Transformer在特征提取方面的卓越能力，并与低秩方法的数据简化优势相结合。初始阶段涉及使用为各个模态量身打造的编码器，分别捕获话语级（全局）和元素级（局部）的特征，这一策略确保了模型能够从宏观和微观层面全面捕捉数据特征。进一步地，采用ABSA-TLRF模型来揭示不同模态之间的语义联系，该模型的创新之处在于其能够有效地融合全局的多模态背景与局部的单模态细节，从而在多模态数据分析过程中实现了信息的全面利用。最终，此方法不仅进行了多模态数据分类，还对特征表达的强度进行了评估，使得分析器能够获得更加精确和深入的特征理解。</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56BBABBF">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围绕需求内容，已经完成部分仿生机械臂关键控制技术的研发工作，初步形成了手势识别、三维手势重建、空间坐标转换、手势语义理解的技术体系。形成了可操作的仿生机械臂原型，整体处于小试阶段。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围绕相关需求，已投入30万。</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pStyle w:val="23"/>
              <w:numPr>
                <w:ilvl w:val="0"/>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高性能AI算力服务器</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22FEDC20">
            <w:pPr>
              <w:pStyle w:val="23"/>
              <w:numPr>
                <w:ilvl w:val="0"/>
                <w:numId w:val="0"/>
              </w:numPr>
              <w:spacing w:line="360" w:lineRule="exact"/>
              <w:ind w:firstLine="560" w:firstLineChars="200"/>
              <w:rPr>
                <w:rFonts w:hint="eastAsia"/>
                <w:sz w:val="24"/>
              </w:rPr>
            </w:pPr>
            <w:r>
              <w:rPr>
                <w:rFonts w:hint="eastAsia" w:ascii="仿宋" w:hAnsi="仿宋" w:eastAsia="仿宋" w:cs="宋体"/>
                <w:kern w:val="2"/>
                <w:sz w:val="28"/>
                <w:szCs w:val="28"/>
                <w:lang w:val="en-US" w:eastAsia="zh-CN" w:bidi="ar-SA"/>
              </w:rPr>
              <w:t>拟与计算机科学与技术领域，长期从事仿生机械臂研究的高校开展产学研合作，合作团队需要具有国家级研发平台，相关专家需要具有省级及以上人才头衔。</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0752C9"/>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AC11AAE"/>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1080</Words>
  <Characters>1106</Characters>
  <Lines>27</Lines>
  <Paragraphs>7</Paragraphs>
  <TotalTime>1</TotalTime>
  <ScaleCrop>false</ScaleCrop>
  <LinksUpToDate>false</LinksUpToDate>
  <CharactersWithSpaces>1131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2025-07-23T14:56:41Z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B890948A06F04BF0BF5E662F001E5AF8_13</vt:lpwstr>
  </property>
  <property fmtid="{D5CDD505-2E9C-101B-9397-08002B2CF9AE}" pid="4" name="KSOTemplateDocerSaveRecord">
    <vt:lpwstr>eyJoZGlkIjoiNTQ1YTcwOTc1ZDUxNTcwOGNiZjNiNTdiY2QzOTc1YTgiLCJ1c2VySWQiOiI5NjYxMjMwNzMifQ==</vt:lpwstr>
  </property>
</Properties>
</file>