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51</w:t>
      </w:r>
      <w:r>
        <w:rPr>
          <w:rFonts w:hint="eastAsia" w:ascii="黑体" w:hAnsi="黑体" w:eastAsia="黑体"/>
          <w:b/>
          <w:bCs/>
          <w:kern w:val="0"/>
          <w:szCs w:val="32"/>
        </w:rPr>
        <w:t>.</w:t>
      </w:r>
      <w:bookmarkEnd w:id="0"/>
      <w:r>
        <w:rPr>
          <w:rFonts w:hint="eastAsia" w:ascii="黑体" w:hAnsi="黑体" w:eastAsia="黑体"/>
          <w:b/>
          <w:bCs/>
          <w:kern w:val="0"/>
          <w:szCs w:val="32"/>
        </w:rPr>
        <w:t>大带宽超宽带小型化射频综合模块开发</w:t>
      </w:r>
    </w:p>
    <w:bookmarkEnd w:id="3"/>
    <w:tbl>
      <w:tblPr>
        <w:tblStyle w:val="16"/>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西安君兰科技有限公司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41B24376">
            <w:pPr>
              <w:spacing w:line="360" w:lineRule="exact"/>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面向空中无人平台小型化、轻量化综合信号处理系统需求，解决在功能/性能不断提升的同时，体积重量越来越轻的激烈矛盾问题。拟采用先进集成工艺手段，将核心处理单元进行微集成设计，形成轻小型模块化组件产品。</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5DDB4FA7">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面向空天技术（低空经济、临近空间、深空探测等）领域新一代综合电子系统所面临的SWaP-C（尺寸、重量、功耗、成本）极限约束，围绕“超异构计算密度</w:t>
            </w:r>
            <w:r>
              <w:rPr>
                <w:rFonts w:hint="eastAsia" w:ascii="仿宋" w:hAnsi="仿宋" w:eastAsia="仿宋" w:cs="宋体"/>
                <w:kern w:val="2"/>
                <w:sz w:val="28"/>
                <w:szCs w:val="28"/>
                <w:lang w:val="en-US" w:eastAsia="zh-CN" w:bidi="ar-SA"/>
              </w:rPr>
              <w:t>”</w:t>
            </w:r>
            <w:r>
              <w:rPr>
                <w:rFonts w:hint="eastAsia" w:ascii="仿宋" w:hAnsi="仿宋" w:eastAsia="仿宋" w:cs="宋体"/>
                <w:kern w:val="2"/>
                <w:sz w:val="28"/>
                <w:szCs w:val="28"/>
                <w:lang w:val="en-US" w:eastAsia="zh-CN" w:bidi="ar-SA"/>
              </w:rPr>
              <w:t>与“纳米级功能集成</w:t>
            </w:r>
            <w:r>
              <w:rPr>
                <w:rFonts w:hint="eastAsia" w:ascii="仿宋" w:hAnsi="仿宋" w:eastAsia="仿宋" w:cs="宋体"/>
                <w:kern w:val="2"/>
                <w:sz w:val="28"/>
                <w:szCs w:val="28"/>
                <w:lang w:val="en-US" w:eastAsia="zh-CN" w:bidi="ar-SA"/>
              </w:rPr>
              <w:t>”</w:t>
            </w:r>
            <w:r>
              <w:rPr>
                <w:rFonts w:hint="eastAsia" w:ascii="仿宋" w:hAnsi="仿宋" w:eastAsia="仿宋" w:cs="宋体"/>
                <w:kern w:val="2"/>
                <w:sz w:val="28"/>
                <w:szCs w:val="28"/>
                <w:lang w:val="en-US" w:eastAsia="zh-CN" w:bidi="ar-SA"/>
              </w:rPr>
              <w:t>的范式变革需求，突破在严苛SWaP-C约束下实现算力密度跃升与功能性能倍增的核心技术瓶颈。</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需要重点突破基于芯粒异构集成的自主可控多功能综合电子微系统技术、支持认知电磁频谱的射频微系统技术、数字波束形成极大宽带补偿校准技术等。</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691F3D82">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①覆盖频段2-18GHz；</w:t>
            </w:r>
          </w:p>
          <w:p w14:paraId="05943057">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②通道数量4收、4发；</w:t>
            </w:r>
          </w:p>
          <w:p w14:paraId="6C36DF00">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③支持高中频采样能力，采样速率不低于2.4GSPS，分辨率不低于12bit；</w:t>
            </w:r>
          </w:p>
          <w:p w14:paraId="7D6E59BA">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④支持光纤传输，传输带宽不低于100Gbps</w:t>
            </w:r>
          </w:p>
          <w:p w14:paraId="3408C9D5">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⑤尺寸≤120*160mm；</w:t>
            </w:r>
          </w:p>
          <w:p w14:paraId="45EA80B2">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⑥重量≤1kg；</w:t>
            </w:r>
          </w:p>
          <w:p w14:paraId="64228AC2">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⑦功耗≤10A@12V。</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1DBE3601">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①研发经费不超过350万；</w:t>
            </w:r>
          </w:p>
          <w:p w14:paraId="2DFDF639">
            <w:pPr>
              <w:pStyle w:val="24"/>
              <w:spacing w:line="360" w:lineRule="exact"/>
              <w:ind w:firstLine="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②研制周期不超过2年。</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目前已开展相关技术论证与市场需求调研工作</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技术研发阶段</w:t>
            </w:r>
          </w:p>
          <w:p w14:paraId="4202941E">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目前已投入自筹资金20万元，组建10人研发团队（含1名高级工程师，5名中级工程师）。</w:t>
            </w:r>
          </w:p>
          <w:p w14:paraId="27B41428">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具备射频研发实验室，配置频谱仪、矢量网络分析仪、示波器、信号源等10余台仪器设备。</w:t>
            </w:r>
          </w:p>
          <w:p w14:paraId="46B58AFF">
            <w:pPr>
              <w:pStyle w:val="24"/>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pStyle w:val="24"/>
              <w:spacing w:line="360" w:lineRule="exact"/>
              <w:ind w:firstLine="0"/>
              <w:rPr>
                <w:rFonts w:hint="eastAsia" w:ascii="仿宋" w:hAnsi="仿宋" w:eastAsia="仿宋_GB2312" w:cs="宋体"/>
                <w:sz w:val="28"/>
                <w:szCs w:val="28"/>
                <w:lang w:val="en-US" w:eastAsia="zh-CN"/>
              </w:rPr>
            </w:pPr>
            <w:r>
              <w:rPr>
                <w:rFonts w:hint="eastAsia" w:ascii="仿宋" w:hAnsi="仿宋" w:eastAsia="仿宋" w:cs="宋体"/>
                <w:kern w:val="2"/>
                <w:sz w:val="28"/>
                <w:szCs w:val="28"/>
                <w:lang w:val="en-US" w:eastAsia="zh-CN" w:bidi="ar-SA"/>
              </w:rPr>
              <w:t>拥有军工级生产线（300多平米抗静电实验室、30多平米十万级无尘实验室），满足GJB 548B-2005微电子器件可靠性标准。</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1513FE18">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（1）期望高校、科研院：</w:t>
            </w:r>
          </w:p>
          <w:p w14:paraId="5DD88987">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在雷达技术方向的射频组件超宽带信号处理、高频电路集成化设计、小型化封装工艺等核心技术领域有创新和成果转化的高校、科研院。</w:t>
            </w:r>
          </w:p>
          <w:p w14:paraId="4E1C2841">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对专家及团队的要求：</w:t>
            </w:r>
          </w:p>
          <w:p w14:paraId="2122514E">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专业领域：信号处理、电路与系统、射频与微波技术；</w:t>
            </w:r>
          </w:p>
          <w:p w14:paraId="5AA5FDAE">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交叉领域：高频材料科学、微纳加工工艺、通信系统架构设计。</w:t>
            </w:r>
          </w:p>
          <w:p w14:paraId="78F18727">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（2）团队水平要求：</w:t>
            </w:r>
          </w:p>
          <w:p w14:paraId="4E881692">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具备省市级及以上重点实验室背景，在超宽带射频系统、毫米波技术等领域有成熟研究积累；</w:t>
            </w:r>
          </w:p>
          <w:p w14:paraId="78C168BE">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拥有高频电路设计、多物理场仿真（电磁-热-应力耦合）的实际项目经验；</w:t>
            </w:r>
          </w:p>
          <w:p w14:paraId="6DABB129">
            <w:pPr>
              <w:pStyle w:val="24"/>
              <w:spacing w:line="360" w:lineRule="exact"/>
              <w:ind w:firstLine="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主持或参与过国防科工、重大专项相关课题者优先，熟悉军工级产品可靠性标准。</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EC7D13"/>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9">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5"/>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1"/>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Normal (Web)"/>
    <w:basedOn w:val="1"/>
    <w:qFormat/>
    <w:uiPriority w:val="0"/>
    <w:rPr>
      <w:sz w:val="24"/>
    </w:rPr>
  </w:style>
  <w:style w:type="paragraph" w:styleId="15">
    <w:name w:val="annotation subject"/>
    <w:basedOn w:val="7"/>
    <w:next w:val="7"/>
    <w:link w:val="26"/>
    <w:qFormat/>
    <w:uiPriority w:val="0"/>
    <w:rPr>
      <w:b/>
      <w:bCs/>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8">
    <w:name w:val="Light Shading Accent 3"/>
    <w:basedOn w:val="16"/>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20">
    <w:name w:val="annotation reference"/>
    <w:basedOn w:val="19"/>
    <w:qFormat/>
    <w:uiPriority w:val="0"/>
    <w:rPr>
      <w:sz w:val="21"/>
      <w:szCs w:val="21"/>
    </w:rPr>
  </w:style>
  <w:style w:type="character" w:customStyle="1" w:styleId="21">
    <w:name w:val="页脚 字符"/>
    <w:basedOn w:val="19"/>
    <w:link w:val="11"/>
    <w:semiHidden/>
    <w:qFormat/>
    <w:uiPriority w:val="99"/>
    <w:rPr>
      <w:rFonts w:ascii="Times New Roman" w:hAnsi="Times New Roman" w:eastAsia="宋体"/>
      <w:sz w:val="28"/>
      <w:szCs w:val="18"/>
    </w:rPr>
  </w:style>
  <w:style w:type="paragraph" w:customStyle="1" w:styleId="22">
    <w:name w:val="List Paragraph1"/>
    <w:basedOn w:val="1"/>
    <w:qFormat/>
    <w:uiPriority w:val="0"/>
    <w:pPr>
      <w:ind w:firstLine="420"/>
    </w:pPr>
    <w:rPr>
      <w:rFonts w:ascii="Calibri" w:hAnsi="Calibri"/>
      <w:szCs w:val="22"/>
    </w:rPr>
  </w:style>
  <w:style w:type="paragraph" w:customStyle="1" w:styleId="23">
    <w:name w:val="列表段落1"/>
    <w:basedOn w:val="1"/>
    <w:unhideWhenUsed/>
    <w:qFormat/>
    <w:uiPriority w:val="99"/>
    <w:pPr>
      <w:ind w:firstLine="420"/>
    </w:pPr>
  </w:style>
  <w:style w:type="paragraph" w:styleId="24">
    <w:name w:val="List Paragraph"/>
    <w:basedOn w:val="1"/>
    <w:qFormat/>
    <w:uiPriority w:val="34"/>
    <w:pPr>
      <w:ind w:firstLine="420"/>
    </w:pPr>
  </w:style>
  <w:style w:type="character" w:customStyle="1" w:styleId="25">
    <w:name w:val="批注文字 字符"/>
    <w:basedOn w:val="19"/>
    <w:link w:val="7"/>
    <w:qFormat/>
    <w:uiPriority w:val="0"/>
    <w:rPr>
      <w:rFonts w:eastAsia="仿宋_GB2312" w:cstheme="minorBidi"/>
      <w:kern w:val="2"/>
      <w:sz w:val="32"/>
      <w:szCs w:val="24"/>
    </w:rPr>
  </w:style>
  <w:style w:type="character" w:customStyle="1" w:styleId="26">
    <w:name w:val="批注主题 字符"/>
    <w:basedOn w:val="25"/>
    <w:link w:val="15"/>
    <w:qFormat/>
    <w:uiPriority w:val="0"/>
    <w:rPr>
      <w:rFonts w:eastAsia="仿宋_GB2312" w:cstheme="minorBidi"/>
      <w:b/>
      <w:bCs/>
      <w:kern w:val="2"/>
      <w:sz w:val="32"/>
      <w:szCs w:val="24"/>
    </w:rPr>
  </w:style>
  <w:style w:type="paragraph" w:customStyle="1" w:styleId="27">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8">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2025-07-23T15:19:58Z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F7C7CA963BE942C79316B7414B07206B_13</vt:lpwstr>
  </property>
  <property fmtid="{D5CDD505-2E9C-101B-9397-08002B2CF9AE}" pid="4" name="KSOTemplateDocerSaveRecord">
    <vt:lpwstr>eyJoZGlkIjoiNTQ1YTcwOTc1ZDUxNTcwOGNiZjNiNTdiY2QzOTc1YTgiLCJ1c2VySWQiOiI5NjYxMjMwNzMifQ==</vt:lpwstr>
  </property>
</Properties>
</file>