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EB63B">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黑体" w:hAnsi="黑体" w:eastAsia="黑体"/>
          <w:b/>
          <w:bCs/>
          <w:kern w:val="0"/>
          <w:szCs w:val="32"/>
          <w:lang w:val="en-US" w:eastAsia="zh-CN"/>
        </w:rPr>
      </w:pPr>
      <w:bookmarkStart w:id="3" w:name="_GoBack"/>
      <w:bookmarkStart w:id="0" w:name="_Hlk75163998"/>
      <w:bookmarkStart w:id="1" w:name="_Hlk75163964"/>
      <w:r>
        <w:rPr>
          <w:rFonts w:hint="eastAsia" w:ascii="黑体" w:hAnsi="黑体" w:eastAsia="黑体"/>
          <w:b/>
          <w:bCs/>
          <w:kern w:val="0"/>
          <w:szCs w:val="32"/>
        </w:rPr>
        <w:t>1</w:t>
      </w:r>
      <w:r>
        <w:rPr>
          <w:rFonts w:hint="eastAsia" w:ascii="黑体" w:hAnsi="黑体" w:eastAsia="黑体"/>
          <w:b/>
          <w:bCs/>
          <w:kern w:val="0"/>
          <w:szCs w:val="32"/>
          <w:lang w:val="en-US" w:eastAsia="zh-CN"/>
        </w:rPr>
        <w:t>62</w:t>
      </w:r>
      <w:r>
        <w:rPr>
          <w:rFonts w:hint="eastAsia" w:ascii="黑体" w:hAnsi="黑体" w:eastAsia="黑体"/>
          <w:b/>
          <w:bCs/>
          <w:kern w:val="0"/>
          <w:szCs w:val="32"/>
        </w:rPr>
        <w:t>.</w:t>
      </w:r>
      <w:bookmarkEnd w:id="0"/>
      <w:r>
        <w:rPr>
          <w:rFonts w:hint="eastAsia" w:ascii="黑体" w:hAnsi="黑体" w:eastAsia="黑体"/>
          <w:b/>
          <w:bCs/>
          <w:kern w:val="0"/>
          <w:szCs w:val="32"/>
          <w:lang w:val="en-US" w:eastAsia="zh-CN"/>
        </w:rPr>
        <w:t>无人机高精度精准标注与测量技术研发</w:t>
      </w:r>
    </w:p>
    <w:bookmarkEnd w:id="3"/>
    <w:tbl>
      <w:tblPr>
        <w:tblStyle w:val="16"/>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317"/>
        <w:gridCol w:w="2055"/>
        <w:gridCol w:w="2481"/>
      </w:tblGrid>
      <w:tr w14:paraId="75A56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tcPr>
          <w:p w14:paraId="6AE1DB42">
            <w:pPr>
              <w:spacing w:line="360" w:lineRule="exact"/>
              <w:ind w:firstLine="0" w:firstLineChars="0"/>
              <w:jc w:val="center"/>
              <w:rPr>
                <w:rFonts w:ascii="仿宋" w:hAnsi="仿宋" w:eastAsia="仿宋" w:cs="宋体"/>
                <w:sz w:val="28"/>
                <w:szCs w:val="28"/>
                <w:u w:val="single"/>
              </w:rPr>
            </w:pPr>
            <w:bookmarkStart w:id="2" w:name="_Hlk75163932"/>
            <w:r>
              <w:rPr>
                <w:rFonts w:hint="eastAsia" w:ascii="仿宋" w:hAnsi="仿宋" w:eastAsia="仿宋" w:cs="宋体"/>
                <w:b/>
                <w:bCs/>
                <w:sz w:val="28"/>
                <w:szCs w:val="28"/>
              </w:rPr>
              <w:t>单位信息</w:t>
            </w:r>
          </w:p>
        </w:tc>
      </w:tr>
      <w:tr w14:paraId="6EEF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66660749">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单位名称</w:t>
            </w:r>
          </w:p>
        </w:tc>
        <w:tc>
          <w:tcPr>
            <w:tcW w:w="6853" w:type="dxa"/>
            <w:gridSpan w:val="3"/>
            <w:tcBorders>
              <w:top w:val="single" w:color="auto" w:sz="4" w:space="0"/>
              <w:left w:val="single" w:color="auto" w:sz="4" w:space="0"/>
              <w:bottom w:val="single" w:color="auto" w:sz="4" w:space="0"/>
              <w:right w:val="single" w:color="auto" w:sz="4" w:space="0"/>
            </w:tcBorders>
            <w:vAlign w:val="center"/>
          </w:tcPr>
          <w:p w14:paraId="7332623E">
            <w:pPr>
              <w:spacing w:line="360" w:lineRule="exact"/>
              <w:ind w:firstLine="0" w:firstLineChars="0"/>
              <w:jc w:val="center"/>
              <w:rPr>
                <w:rFonts w:hint="eastAsia" w:ascii="仿宋" w:hAnsi="仿宋" w:eastAsia="仿宋" w:cs="宋体"/>
                <w:sz w:val="28"/>
                <w:szCs w:val="28"/>
                <w:lang w:eastAsia="zh-CN"/>
              </w:rPr>
            </w:pPr>
            <w:r>
              <w:rPr>
                <w:rFonts w:hint="eastAsia" w:ascii="仿宋" w:hAnsi="仿宋" w:eastAsia="仿宋" w:cs="宋体"/>
                <w:sz w:val="28"/>
                <w:szCs w:val="28"/>
                <w:lang w:val="en-US" w:eastAsia="zh-CN"/>
              </w:rPr>
              <w:t>西安汇航无人机科技有限公司</w:t>
            </w:r>
          </w:p>
        </w:tc>
      </w:tr>
      <w:tr w14:paraId="3C63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0451A375">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所属行业</w:t>
            </w:r>
          </w:p>
        </w:tc>
        <w:tc>
          <w:tcPr>
            <w:tcW w:w="2317" w:type="dxa"/>
            <w:tcBorders>
              <w:top w:val="single" w:color="auto" w:sz="4" w:space="0"/>
              <w:left w:val="single" w:color="auto" w:sz="4" w:space="0"/>
              <w:bottom w:val="single" w:color="auto" w:sz="4" w:space="0"/>
              <w:right w:val="single" w:color="auto" w:sz="4" w:space="0"/>
            </w:tcBorders>
            <w:vAlign w:val="center"/>
          </w:tcPr>
          <w:p w14:paraId="4AF86917">
            <w:pPr>
              <w:spacing w:line="360" w:lineRule="exact"/>
              <w:ind w:firstLine="0" w:firstLineChars="0"/>
              <w:jc w:val="center"/>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制造业</w:t>
            </w:r>
          </w:p>
        </w:tc>
        <w:tc>
          <w:tcPr>
            <w:tcW w:w="2055" w:type="dxa"/>
            <w:tcBorders>
              <w:top w:val="single" w:color="auto" w:sz="4" w:space="0"/>
              <w:left w:val="single" w:color="auto" w:sz="4" w:space="0"/>
              <w:bottom w:val="single" w:color="auto" w:sz="4" w:space="0"/>
              <w:right w:val="single" w:color="auto" w:sz="4" w:space="0"/>
            </w:tcBorders>
            <w:vAlign w:val="center"/>
          </w:tcPr>
          <w:p w14:paraId="36E469ED">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技术领域</w:t>
            </w:r>
          </w:p>
        </w:tc>
        <w:tc>
          <w:tcPr>
            <w:tcW w:w="2481" w:type="dxa"/>
            <w:tcBorders>
              <w:top w:val="single" w:color="auto" w:sz="4" w:space="0"/>
              <w:left w:val="single" w:color="auto" w:sz="4" w:space="0"/>
              <w:bottom w:val="single" w:color="auto" w:sz="4" w:space="0"/>
              <w:right w:val="single" w:color="auto" w:sz="4" w:space="0"/>
            </w:tcBorders>
            <w:vAlign w:val="center"/>
          </w:tcPr>
          <w:p w14:paraId="73C08961">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航空航天</w:t>
            </w:r>
          </w:p>
        </w:tc>
      </w:tr>
      <w:tr w14:paraId="46AE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vAlign w:val="center"/>
          </w:tcPr>
          <w:p w14:paraId="455E1DE9">
            <w:pPr>
              <w:spacing w:line="360" w:lineRule="exact"/>
              <w:ind w:firstLine="0" w:firstLineChars="0"/>
              <w:jc w:val="center"/>
              <w:rPr>
                <w:rFonts w:ascii="仿宋" w:hAnsi="仿宋" w:eastAsia="仿宋"/>
                <w:kern w:val="0"/>
                <w:sz w:val="28"/>
                <w:szCs w:val="28"/>
              </w:rPr>
            </w:pPr>
            <w:r>
              <w:rPr>
                <w:rFonts w:hint="eastAsia" w:ascii="仿宋" w:hAnsi="仿宋" w:eastAsia="仿宋" w:cs="宋体"/>
                <w:b/>
                <w:bCs/>
                <w:sz w:val="28"/>
                <w:szCs w:val="28"/>
              </w:rPr>
              <w:t>需求信息</w:t>
            </w:r>
          </w:p>
        </w:tc>
      </w:tr>
      <w:tr w14:paraId="0CA2B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14:paraId="25361E5F">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14:paraId="2837E72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需求类别</w:t>
            </w:r>
          </w:p>
        </w:tc>
        <w:tc>
          <w:tcPr>
            <w:tcW w:w="7533" w:type="dxa"/>
            <w:gridSpan w:val="4"/>
            <w:tcBorders>
              <w:top w:val="single" w:color="auto" w:sz="4" w:space="0"/>
              <w:left w:val="nil"/>
              <w:bottom w:val="single" w:color="auto" w:sz="4" w:space="0"/>
              <w:right w:val="single" w:color="auto" w:sz="4" w:space="0"/>
            </w:tcBorders>
            <w:vAlign w:val="center"/>
          </w:tcPr>
          <w:p w14:paraId="03AB5EF8">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□技术研发（关键、核心技术）</w:t>
            </w:r>
          </w:p>
          <w:p w14:paraId="6067127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■产品研发（产品升级、新产品研发）</w:t>
            </w:r>
          </w:p>
          <w:p w14:paraId="6D3CCFF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□技术改造（设备、研发生产条件）</w:t>
            </w:r>
          </w:p>
          <w:p w14:paraId="510374BF">
            <w:pPr>
              <w:spacing w:line="360" w:lineRule="exact"/>
              <w:ind w:firstLine="0" w:firstLineChars="0"/>
              <w:rPr>
                <w:rFonts w:ascii="仿宋" w:hAnsi="仿宋" w:eastAsia="仿宋" w:cs="宋体"/>
                <w:kern w:val="0"/>
                <w:sz w:val="28"/>
                <w:szCs w:val="28"/>
              </w:rPr>
            </w:pPr>
            <w:r>
              <w:rPr>
                <w:rFonts w:hint="eastAsia" w:ascii="仿宋" w:hAnsi="仿宋" w:eastAsia="仿宋" w:cs="宋体"/>
                <w:sz w:val="28"/>
                <w:szCs w:val="28"/>
              </w:rPr>
              <w:t>□技术配套（技术、产品等配套合作）</w:t>
            </w:r>
          </w:p>
        </w:tc>
      </w:tr>
      <w:tr w14:paraId="250F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6" w:hRule="atLeast"/>
        </w:trPr>
        <w:tc>
          <w:tcPr>
            <w:tcW w:w="630" w:type="dxa"/>
            <w:vMerge w:val="continue"/>
            <w:tcBorders>
              <w:left w:val="single" w:color="auto" w:sz="4" w:space="0"/>
              <w:right w:val="single" w:color="auto" w:sz="4" w:space="0"/>
            </w:tcBorders>
            <w:vAlign w:val="center"/>
          </w:tcPr>
          <w:p w14:paraId="59256152">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0A137D8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需求</w:t>
            </w:r>
          </w:p>
          <w:p w14:paraId="28C4603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内容</w:t>
            </w:r>
          </w:p>
        </w:tc>
        <w:tc>
          <w:tcPr>
            <w:tcW w:w="7533" w:type="dxa"/>
            <w:gridSpan w:val="4"/>
            <w:tcBorders>
              <w:top w:val="single" w:color="auto" w:sz="4" w:space="0"/>
              <w:left w:val="nil"/>
              <w:bottom w:val="single" w:color="auto" w:sz="4" w:space="0"/>
              <w:right w:val="single" w:color="auto" w:sz="4" w:space="0"/>
            </w:tcBorders>
          </w:tcPr>
          <w:p w14:paraId="76F7E36C">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需求解决的技术问题</w:t>
            </w:r>
          </w:p>
          <w:p w14:paraId="6CB0FDBA">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当前，高精度及精准标注与测量的无人机研发过程中存在数据融合精度不足的问题，遇到了多传感器协同工作难度大的困难，导致在动态环境下的测量结果无法满足行业应用需求，因此急需在多传感器融合技术与算法优化方面进行解决。</w:t>
            </w:r>
          </w:p>
          <w:p w14:paraId="50F109A4">
            <w:pPr>
              <w:keepNext w:val="0"/>
              <w:keepLines w:val="0"/>
              <w:pageBreakBefore w:val="0"/>
              <w:widowControl w:val="0"/>
              <w:kinsoku/>
              <w:wordWrap/>
              <w:overflowPunct/>
              <w:topLinePunct w:val="0"/>
              <w:autoSpaceDE/>
              <w:autoSpaceDN/>
              <w:bidi w:val="0"/>
              <w:adjustRightInd/>
              <w:snapToGrid/>
              <w:spacing w:line="360" w:lineRule="exact"/>
              <w:ind w:left="0" w:leftChars="0" w:firstLine="560" w:firstLineChars="20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（1）数据融合精度不足：</w:t>
            </w:r>
          </w:p>
          <w:p w14:paraId="00A3E55C">
            <w:pPr>
              <w:keepNext w:val="0"/>
              <w:keepLines w:val="0"/>
              <w:pageBreakBefore w:val="0"/>
              <w:widowControl w:val="0"/>
              <w:kinsoku/>
              <w:wordWrap/>
              <w:overflowPunct/>
              <w:topLinePunct w:val="0"/>
              <w:autoSpaceDE/>
              <w:autoSpaceDN/>
              <w:bidi w:val="0"/>
              <w:adjustRightInd/>
              <w:snapToGrid/>
              <w:spacing w:line="360" w:lineRule="exact"/>
              <w:ind w:left="0" w:leftChars="0" w:firstLine="560" w:firstLineChars="20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无人机在进行高精度测量时，通常依赖多种传感器（如GNSS、IMU、激光雷达和高清摄像头）进行数据采集。当前，这些传感器获取的数据在融合过程中，因算法不够成熟或数据处理能力不足，导致最终的测量精度无法达到预期。</w:t>
            </w:r>
          </w:p>
          <w:p w14:paraId="10EC4804">
            <w:pPr>
              <w:keepNext w:val="0"/>
              <w:keepLines w:val="0"/>
              <w:pageBreakBefore w:val="0"/>
              <w:widowControl w:val="0"/>
              <w:kinsoku/>
              <w:wordWrap/>
              <w:overflowPunct/>
              <w:topLinePunct w:val="0"/>
              <w:autoSpaceDE/>
              <w:autoSpaceDN/>
              <w:bidi w:val="0"/>
              <w:adjustRightInd/>
              <w:snapToGrid/>
              <w:spacing w:line="360" w:lineRule="exact"/>
              <w:ind w:left="0" w:leftChars="0" w:firstLine="560" w:firstLineChars="20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（2）多传感器协同工作难度大：</w:t>
            </w:r>
          </w:p>
          <w:p w14:paraId="668C7273">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不同类型的传感器在工作原理和数据特性上存在差异，导致在集成时面临诸多挑战。例如，激光雷达与视觉传感器在数据处理时，需要复杂的同步与校准，且在动态环境（如气象变化或物体运动）下，协同工作的稳定性和可靠性会受到影响。</w:t>
            </w:r>
          </w:p>
          <w:p w14:paraId="2460658A">
            <w:pPr>
              <w:keepNext w:val="0"/>
              <w:keepLines w:val="0"/>
              <w:pageBreakBefore w:val="0"/>
              <w:widowControl w:val="0"/>
              <w:kinsoku/>
              <w:wordWrap/>
              <w:overflowPunct/>
              <w:topLinePunct w:val="0"/>
              <w:autoSpaceDE/>
              <w:autoSpaceDN/>
              <w:bidi w:val="0"/>
              <w:adjustRightInd/>
              <w:snapToGrid/>
              <w:spacing w:line="360" w:lineRule="exact"/>
              <w:ind w:left="0" w:leftChars="0" w:firstLine="560" w:firstLineChars="20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（3）无法满足行业应用需求：</w:t>
            </w:r>
          </w:p>
          <w:p w14:paraId="2D9FA220">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在许多行业应用（如城市规划、灾后评估、农业监测等）中，客户对测量精度和实时性的要求越来越高。当前无人机在动态环境中的表现，无法满足行业标准，限制了其推广和应用。</w:t>
            </w:r>
          </w:p>
          <w:p w14:paraId="1AD7C8B2">
            <w:pPr>
              <w:keepNext w:val="0"/>
              <w:keepLines w:val="0"/>
              <w:pageBreakBefore w:val="0"/>
              <w:widowControl w:val="0"/>
              <w:kinsoku/>
              <w:wordWrap/>
              <w:overflowPunct/>
              <w:topLinePunct w:val="0"/>
              <w:autoSpaceDE/>
              <w:autoSpaceDN/>
              <w:bidi w:val="0"/>
              <w:adjustRightInd/>
              <w:snapToGrid/>
              <w:spacing w:line="360" w:lineRule="exact"/>
              <w:ind w:left="0" w:leftChars="0" w:firstLine="560" w:firstLineChars="20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（4）解决方案的迫切性：</w:t>
            </w:r>
          </w:p>
          <w:p w14:paraId="406667C2">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为了解决这些问题，需要加大对多传感器融合技术的研究，开发更为高效的算法，以实现不同传感器数据的高精度融合。此外，提升数据处理能力，能够更好地应对动态环境下的变化，确保测量的准确性和可靠性。</w:t>
            </w:r>
          </w:p>
          <w:p w14:paraId="02AA09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技术需求提出背景及技术应用领域</w:t>
            </w:r>
          </w:p>
          <w:p w14:paraId="5520A1C3">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（1）生态与环境监测</w:t>
            </w:r>
          </w:p>
          <w:p w14:paraId="41E25703">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无人机可用于环境监测，包括空气质量、水质监测和生态评估等。通过搭载多种传感器，可以实时获取环境数据，帮助研究人员进行科学分析。</w:t>
            </w:r>
          </w:p>
          <w:p w14:paraId="7773E5FB">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（2）农业监测</w:t>
            </w:r>
          </w:p>
          <w:p w14:paraId="66E41960">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在农业领域，无人机被广泛用于精准农业。无人机可以通过高分辨率图像对作物生长状态进行监测，帮助农民优化施肥和灌溉方案，提高作物产量与质量。</w:t>
            </w:r>
          </w:p>
          <w:p w14:paraId="440C9E2C">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（3）测绘与地理信息系统（GIS）</w:t>
            </w:r>
          </w:p>
          <w:p w14:paraId="3814BC43">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无人机具备高精度的定位能力和图像采集能力，适用于地理测绘、3D建模和地形图制作等任务。其快速、灵活的特点使得大型测绘项目的实施变得更加高效。</w:t>
            </w:r>
          </w:p>
          <w:p w14:paraId="2E62EDDE">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（4）基础设施检查</w:t>
            </w:r>
          </w:p>
          <w:p w14:paraId="7537D935">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无人机能够进行电力线路、桥梁、建筑物等基础设施的巡检。无人机可以在高危环境中进行检查，减少人工巡检的风险和成本，提高检查效率和安全性。</w:t>
            </w:r>
          </w:p>
          <w:p w14:paraId="24276CD4">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（5）灾害应急响应</w:t>
            </w:r>
          </w:p>
          <w:p w14:paraId="6F052217">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在自然灾害发生后，无人机可以快速进行灾后评估、搜索救援和物资投放等任务，为应急管理提供重要支持。</w:t>
            </w:r>
          </w:p>
          <w:p w14:paraId="132DAB01">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（6）安防与监控</w:t>
            </w:r>
          </w:p>
          <w:p w14:paraId="56147278">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在安防领域，无人机可用于城市监控、公共安全和事件监控等。无人机的高机动性和灵活性使其能够快速响应突发事件，提高安全管理效率。</w:t>
            </w:r>
          </w:p>
          <w:p w14:paraId="761EB3A1">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技术难点</w:t>
            </w:r>
          </w:p>
          <w:p w14:paraId="2190D3C2">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（1）定位精度：在测绘和农业应用中，高精度的定位是关键需求，尤其是在进行地形建模和作物监测时，当前定位精度为±1米，要求厘米级定位精度。</w:t>
            </w:r>
          </w:p>
          <w:p w14:paraId="6D9CCA90">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（2）图像处理精度：拍摄的图像需要高分辨率和低畸变，才能确保后续数据分析的准确性。当前无人飞行器稳定性、云台稳定性导致图片畸变，图形分辨率为2000万像素，像素和稳定性需要提升。</w:t>
            </w:r>
          </w:p>
          <w:p w14:paraId="1890476F">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（3）数据量大：无人机在飞行中采集的大量数据需要有效的处理与存储方案，当前单架次可完成面积1平方公里区域的测绘作业，提升后需要单次完成面积2平方公里区域的测绘作业，提升后图片大小为16MB±4。</w:t>
            </w:r>
          </w:p>
          <w:p w14:paraId="1212EB24">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主要技术经济指标</w:t>
            </w:r>
          </w:p>
          <w:p w14:paraId="0EB64F24">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default"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（1）激光测距模块可实现实时精准标注与测量，通过简单操作即可完成无人机手持终端的打点、绘线、绘面等操作，即可完成目标位置标记和长度计算等任务，测距精度：1 米至3米：系统误差&lt;0.3米，随机误差&lt;0.1米@1σ其他距离：±（0.2+0.0015D）（D 代表测量距离，单位米）。</w:t>
            </w:r>
          </w:p>
          <w:p w14:paraId="78DF5BF5">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（2）无人机配备中长焦相机，在电力与桥梁巡检中，可检测≧10米的销钉和裂缝，也可看清变电站的仪表数据。</w:t>
            </w:r>
          </w:p>
          <w:p w14:paraId="0451CAD1">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（3）无人机配备长焦相机像素≧4800万，可捕捉远至≧250米外的车牌信息。</w:t>
            </w:r>
          </w:p>
          <w:p w14:paraId="4BC51BA3">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（4）无人机支持日夜模式切换，不论昼夜都能带来清晰视野。</w:t>
            </w:r>
          </w:p>
          <w:p w14:paraId="55E41D04">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（5）无人机长焦支持前景增稳功能在≧10倍以上长焦拍摄中，维持前景对象稳定清晰。</w:t>
            </w:r>
          </w:p>
          <w:p w14:paraId="20A28198">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（6）无人机在雾霾、大气湿度过高等环境下，电子去雾功能可提高成像清晰度，并提供低≧10米、中≧8米、高≧4米三个去雾等级，匹配不同的作业环境和作业要求。</w:t>
            </w:r>
          </w:p>
          <w:p w14:paraId="70D768EC">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（7）无人机的广角相机在正射与倾斜摄影模式下，均支持≧0.5秒定时拍照，实现多角度高速航测，测绘航线速度≧21米/秒。</w:t>
            </w:r>
          </w:p>
          <w:p w14:paraId="6B8639CE">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（8）无人机支持全新5向倾斜摆拍，云台能够根据目标测区进行智能化多角度摆动拍摄。</w:t>
            </w:r>
          </w:p>
          <w:p w14:paraId="043A3AF2">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（9）无人机支持3向正射摆拍，在正射的同时实现侧向摆拍，减少旁向重叠率，单架次可完成面积≧2.8平方公里区域的测绘作业。</w:t>
            </w:r>
          </w:p>
          <w:p w14:paraId="58DFD948">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10）无人机支持贴近摄影，可在遥控器端建粗模，并基于粗模快速生成贴近被摄物表面的精细化测绘航线，仅需一次外场作业，即可高效完成对异形建筑的精细化测量及建模。同时支持显示贴近摄影虚拟空间航线及航点照片，方便评估精细化航线的飞行安全和覆盖区域，热成像分辨率640×512。</w:t>
            </w:r>
          </w:p>
          <w:p w14:paraId="4EF9C7B6">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default" w:ascii="仿宋" w:hAnsi="仿宋" w:eastAsia="仿宋" w:cs="宋体"/>
                <w:kern w:val="2"/>
                <w:sz w:val="28"/>
                <w:szCs w:val="28"/>
                <w:lang w:val="en-US" w:eastAsia="zh-CN" w:bidi="ar-SA"/>
              </w:rPr>
            </w:pPr>
            <w:r>
              <w:rPr>
                <w:rFonts w:hint="eastAsia" w:ascii="仿宋" w:hAnsi="仿宋" w:eastAsia="仿宋" w:cs="仿宋"/>
                <w:kern w:val="2"/>
                <w:sz w:val="28"/>
                <w:szCs w:val="28"/>
                <w:lang w:val="en-US" w:eastAsia="zh-CN" w:bidi="ar-SA"/>
              </w:rPr>
              <w:t>（11）畸变矫正提供高精度机内畸变矫正功能，畸变残余≦2像素。</w:t>
            </w:r>
          </w:p>
        </w:tc>
      </w:tr>
      <w:tr w14:paraId="59796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630" w:type="dxa"/>
            <w:vMerge w:val="continue"/>
            <w:tcBorders>
              <w:left w:val="single" w:color="auto" w:sz="4" w:space="0"/>
              <w:bottom w:val="single" w:color="auto" w:sz="4" w:space="0"/>
              <w:right w:val="single" w:color="auto" w:sz="4" w:space="0"/>
            </w:tcBorders>
            <w:vAlign w:val="center"/>
          </w:tcPr>
          <w:p w14:paraId="51E2A7F8">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14:paraId="7F52B440">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现有</w:t>
            </w:r>
          </w:p>
          <w:p w14:paraId="22D9EF51">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基础</w:t>
            </w:r>
          </w:p>
        </w:tc>
        <w:tc>
          <w:tcPr>
            <w:tcW w:w="7533" w:type="dxa"/>
            <w:gridSpan w:val="4"/>
            <w:tcBorders>
              <w:top w:val="single" w:color="auto" w:sz="4" w:space="0"/>
              <w:left w:val="nil"/>
              <w:bottom w:val="single" w:color="auto" w:sz="4" w:space="0"/>
              <w:right w:val="single" w:color="auto" w:sz="4" w:space="0"/>
            </w:tcBorders>
            <w:vAlign w:val="center"/>
          </w:tcPr>
          <w:p w14:paraId="0355E6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开展的工作</w:t>
            </w:r>
          </w:p>
          <w:p w14:paraId="288319E8">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已经完成无人机产品在飞行控制、通信及多传感器集成等方面的多年研发经验，形成了稳定且高效的技术架构。</w:t>
            </w:r>
          </w:p>
          <w:p w14:paraId="5F4929F5">
            <w:pPr>
              <w:spacing w:line="360" w:lineRule="exact"/>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所处阶段</w:t>
            </w:r>
          </w:p>
          <w:p w14:paraId="4234BA6E">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基于实时数据融合，确保无人机在动态障碍物密集以及低能见度环境下依然具备良好的自主避障和路径规划能力。</w:t>
            </w:r>
          </w:p>
          <w:p w14:paraId="4202941E">
            <w:pPr>
              <w:pStyle w:val="24"/>
              <w:spacing w:line="360" w:lineRule="exact"/>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投入资金和人才</w:t>
            </w:r>
          </w:p>
          <w:p w14:paraId="6E9B84C2">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已投入490万元，研发人员共计9人，其中高级职称3人，中级职称6人。</w:t>
            </w:r>
          </w:p>
          <w:p w14:paraId="27B41428">
            <w:pPr>
              <w:pStyle w:val="24"/>
              <w:spacing w:line="360" w:lineRule="exact"/>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仪器设备</w:t>
            </w:r>
          </w:p>
          <w:p w14:paraId="1B44F3AF">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飞行平台：无人机采用标准化接口和模块化设计，便于扩展不同载荷，满足行业定制化需求，降低二次开发和集成难度。</w:t>
            </w:r>
            <w:r>
              <w:rPr>
                <w:rFonts w:hint="eastAsia" w:ascii="仿宋" w:hAnsi="仿宋" w:eastAsia="仿宋" w:cs="仿宋"/>
                <w:kern w:val="2"/>
                <w:sz w:val="28"/>
                <w:szCs w:val="28"/>
                <w:lang w:val="en-US" w:eastAsia="zh-CN" w:bidi="ar-SA"/>
              </w:rPr>
              <w:br w:type="textWrapping"/>
            </w:r>
            <w:r>
              <w:rPr>
                <w:rFonts w:hint="eastAsia" w:ascii="仿宋" w:hAnsi="仿宋" w:eastAsia="仿宋" w:cs="仿宋"/>
                <w:kern w:val="2"/>
                <w:sz w:val="28"/>
                <w:szCs w:val="28"/>
                <w:lang w:val="en-US" w:eastAsia="zh-CN" w:bidi="ar-SA"/>
              </w:rPr>
              <w:t>无人机边缘计算盒：实现海量数据的快速处理与实时回传，满足高分辨率影像和激光点云等数据的应用需求。</w:t>
            </w:r>
          </w:p>
          <w:p w14:paraId="0E735A56">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高性能工作站‌：工作站是平台的核心设备，用于存储和处理所有数据、信息等。对于测绘二维三维重建而言，需要选择高性能的工作站，以确保平台的访问速度、稳定性和安全性。</w:t>
            </w:r>
          </w:p>
          <w:p w14:paraId="46B58AFF">
            <w:pPr>
              <w:pStyle w:val="24"/>
              <w:spacing w:line="360" w:lineRule="exact"/>
              <w:rPr>
                <w:rFonts w:ascii="仿宋" w:hAnsi="仿宋" w:eastAsia="仿宋" w:cs="宋体"/>
                <w:b/>
                <w:bCs/>
                <w:sz w:val="28"/>
                <w:szCs w:val="28"/>
              </w:rPr>
            </w:pPr>
            <w:r>
              <w:rPr>
                <w:rFonts w:hint="eastAsia" w:ascii="仿宋" w:hAnsi="仿宋" w:eastAsia="仿宋" w:cs="宋体"/>
                <w:b/>
                <w:bCs/>
                <w:sz w:val="28"/>
                <w:szCs w:val="28"/>
              </w:rPr>
              <w:t>5.</w:t>
            </w:r>
            <w:r>
              <w:rPr>
                <w:rFonts w:ascii="仿宋" w:hAnsi="仿宋" w:eastAsia="仿宋" w:cs="宋体"/>
                <w:b/>
                <w:bCs/>
                <w:sz w:val="28"/>
                <w:szCs w:val="28"/>
              </w:rPr>
              <w:t>生产条件</w:t>
            </w:r>
          </w:p>
          <w:p w14:paraId="09BB7730">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仿宋"/>
                <w:kern w:val="2"/>
                <w:sz w:val="28"/>
                <w:szCs w:val="28"/>
                <w:lang w:val="en-US" w:eastAsia="zh-CN" w:bidi="ar-SA"/>
              </w:rPr>
              <w:t>实验室、试飞场地</w:t>
            </w:r>
          </w:p>
        </w:tc>
      </w:tr>
      <w:tr w14:paraId="1CE6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14:paraId="227A4AD4">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14:paraId="48956FEC">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简要</w:t>
            </w:r>
          </w:p>
          <w:p w14:paraId="27F38076">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描述</w:t>
            </w:r>
          </w:p>
        </w:tc>
        <w:tc>
          <w:tcPr>
            <w:tcW w:w="7533" w:type="dxa"/>
            <w:gridSpan w:val="4"/>
            <w:tcBorders>
              <w:top w:val="single" w:color="auto" w:sz="4" w:space="0"/>
              <w:left w:val="single" w:color="auto" w:sz="4" w:space="0"/>
              <w:bottom w:val="single" w:color="auto" w:sz="4" w:space="0"/>
              <w:right w:val="single" w:color="auto" w:sz="4" w:space="0"/>
            </w:tcBorders>
            <w:vAlign w:val="center"/>
          </w:tcPr>
          <w:p w14:paraId="6A9F2A07">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sz w:val="24"/>
              </w:rPr>
            </w:pPr>
            <w:r>
              <w:rPr>
                <w:rFonts w:hint="eastAsia" w:ascii="仿宋" w:hAnsi="仿宋" w:eastAsia="仿宋" w:cs="仿宋"/>
                <w:kern w:val="2"/>
                <w:sz w:val="28"/>
                <w:szCs w:val="28"/>
                <w:lang w:val="en-US" w:eastAsia="zh-CN" w:bidi="ar-SA"/>
              </w:rPr>
              <w:t>希望与高校、科研院所合作，针对高精度及精准标注与测量技术进行共同开发。</w:t>
            </w:r>
          </w:p>
        </w:tc>
      </w:tr>
      <w:tr w14:paraId="7EF8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14:paraId="401C7D19">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1FF802E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合作</w:t>
            </w:r>
          </w:p>
          <w:p w14:paraId="0893EABB">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方式</w:t>
            </w:r>
          </w:p>
        </w:tc>
        <w:tc>
          <w:tcPr>
            <w:tcW w:w="7533" w:type="dxa"/>
            <w:gridSpan w:val="4"/>
            <w:tcBorders>
              <w:top w:val="single" w:color="auto" w:sz="4" w:space="0"/>
              <w:left w:val="nil"/>
              <w:bottom w:val="single" w:color="auto" w:sz="4" w:space="0"/>
              <w:right w:val="single" w:color="auto" w:sz="4" w:space="0"/>
            </w:tcBorders>
            <w:vAlign w:val="center"/>
          </w:tcPr>
          <w:p w14:paraId="2DA0ABC0">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□技术转让    </w:t>
            </w:r>
            <w:r>
              <w:rPr>
                <w:rFonts w:ascii="仿宋" w:hAnsi="仿宋" w:eastAsia="仿宋" w:cs="宋体"/>
                <w:sz w:val="28"/>
                <w:szCs w:val="28"/>
              </w:rPr>
              <w:t xml:space="preserve">  </w:t>
            </w:r>
            <w:r>
              <w:rPr>
                <w:rFonts w:hint="eastAsia" w:ascii="仿宋" w:hAnsi="仿宋" w:eastAsia="仿宋" w:cs="宋体"/>
                <w:sz w:val="28"/>
                <w:szCs w:val="28"/>
              </w:rPr>
              <w:t xml:space="preserve">□技术入股   </w:t>
            </w:r>
            <w:r>
              <w:rPr>
                <w:rFonts w:ascii="仿宋" w:hAnsi="仿宋" w:eastAsia="仿宋" w:cs="宋体"/>
                <w:sz w:val="28"/>
                <w:szCs w:val="28"/>
              </w:rPr>
              <w:t xml:space="preserve">   </w:t>
            </w:r>
            <w:r>
              <w:rPr>
                <w:rFonts w:hint="eastAsia" w:ascii="仿宋" w:hAnsi="仿宋" w:eastAsia="仿宋" w:cs="宋体"/>
                <w:sz w:val="28"/>
                <w:szCs w:val="28"/>
              </w:rPr>
              <w:t xml:space="preserve">□联合开发   </w:t>
            </w:r>
          </w:p>
          <w:p w14:paraId="07E9B7D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■委托研发 </w:t>
            </w:r>
            <w:r>
              <w:rPr>
                <w:rFonts w:ascii="仿宋" w:hAnsi="仿宋" w:eastAsia="仿宋" w:cs="宋体"/>
                <w:sz w:val="28"/>
                <w:szCs w:val="28"/>
              </w:rPr>
              <w:t xml:space="preserve">     </w:t>
            </w:r>
            <w:r>
              <w:rPr>
                <w:rFonts w:hint="eastAsia" w:ascii="仿宋" w:hAnsi="仿宋" w:eastAsia="仿宋" w:cs="宋体"/>
                <w:sz w:val="28"/>
                <w:szCs w:val="28"/>
              </w:rPr>
              <w:t xml:space="preserve">■委托团队、专家长期技术服务    </w:t>
            </w:r>
          </w:p>
          <w:p w14:paraId="2C3EC42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■共建新研发、生产实体</w:t>
            </w:r>
          </w:p>
        </w:tc>
      </w:tr>
      <w:bookmarkEnd w:id="1"/>
      <w:bookmarkEnd w:id="2"/>
    </w:tbl>
    <w:p w14:paraId="1C44BA4E">
      <w:pPr>
        <w:widowControl/>
        <w:ind w:firstLine="0" w:firstLineChars="0"/>
        <w:jc w:val="left"/>
        <w:rPr>
          <w:rFonts w:ascii="黑体" w:hAnsi="黑体" w:eastAsia="黑体" w:cs="黑体"/>
          <w:bCs/>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588" w:right="1474" w:bottom="1588" w:left="1588" w:header="851" w:footer="1418"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5A9E1">
    <w:pPr>
      <w:pStyle w:val="11"/>
      <w:tabs>
        <w:tab w:val="clear" w:pos="4153"/>
      </w:tabs>
      <w:wordWrap w:val="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1F56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5A859">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8455">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92EC1">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1731C">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4"/>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5"/>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79FC669C"/>
    <w:rsid w:val="00010F3F"/>
    <w:rsid w:val="0002333C"/>
    <w:rsid w:val="00036F3D"/>
    <w:rsid w:val="0004253E"/>
    <w:rsid w:val="00045D4A"/>
    <w:rsid w:val="00056A8B"/>
    <w:rsid w:val="0006008E"/>
    <w:rsid w:val="00060505"/>
    <w:rsid w:val="00076156"/>
    <w:rsid w:val="0009366D"/>
    <w:rsid w:val="000A0F21"/>
    <w:rsid w:val="000C0557"/>
    <w:rsid w:val="000D0414"/>
    <w:rsid w:val="001554EA"/>
    <w:rsid w:val="00165BBD"/>
    <w:rsid w:val="001934AD"/>
    <w:rsid w:val="001E2F64"/>
    <w:rsid w:val="0022094F"/>
    <w:rsid w:val="00234C38"/>
    <w:rsid w:val="0024332C"/>
    <w:rsid w:val="00264A4F"/>
    <w:rsid w:val="00296DCC"/>
    <w:rsid w:val="002A5D22"/>
    <w:rsid w:val="002B0C77"/>
    <w:rsid w:val="002B676F"/>
    <w:rsid w:val="002E042D"/>
    <w:rsid w:val="002F250F"/>
    <w:rsid w:val="00304FCF"/>
    <w:rsid w:val="003506C8"/>
    <w:rsid w:val="003E512F"/>
    <w:rsid w:val="003E560E"/>
    <w:rsid w:val="004327BA"/>
    <w:rsid w:val="00466598"/>
    <w:rsid w:val="00472ADB"/>
    <w:rsid w:val="0049041D"/>
    <w:rsid w:val="004B0DD0"/>
    <w:rsid w:val="004B47E3"/>
    <w:rsid w:val="005061D6"/>
    <w:rsid w:val="00507F22"/>
    <w:rsid w:val="00526424"/>
    <w:rsid w:val="0056030C"/>
    <w:rsid w:val="00562652"/>
    <w:rsid w:val="005E2D4A"/>
    <w:rsid w:val="005F6D63"/>
    <w:rsid w:val="00616024"/>
    <w:rsid w:val="0063722E"/>
    <w:rsid w:val="00637DF6"/>
    <w:rsid w:val="00654F78"/>
    <w:rsid w:val="00672CF2"/>
    <w:rsid w:val="0068301F"/>
    <w:rsid w:val="006B7E13"/>
    <w:rsid w:val="006C5C73"/>
    <w:rsid w:val="006C6314"/>
    <w:rsid w:val="006D1A79"/>
    <w:rsid w:val="006E61EB"/>
    <w:rsid w:val="006F5501"/>
    <w:rsid w:val="0077165B"/>
    <w:rsid w:val="0083052B"/>
    <w:rsid w:val="008469CF"/>
    <w:rsid w:val="0084710D"/>
    <w:rsid w:val="00847F49"/>
    <w:rsid w:val="00865E10"/>
    <w:rsid w:val="008B07BF"/>
    <w:rsid w:val="008D29E6"/>
    <w:rsid w:val="008F064F"/>
    <w:rsid w:val="008F3F6A"/>
    <w:rsid w:val="009155A4"/>
    <w:rsid w:val="009318C9"/>
    <w:rsid w:val="009514B8"/>
    <w:rsid w:val="0095160C"/>
    <w:rsid w:val="0098121D"/>
    <w:rsid w:val="009C1D42"/>
    <w:rsid w:val="009C51C7"/>
    <w:rsid w:val="009C5E15"/>
    <w:rsid w:val="00A06B92"/>
    <w:rsid w:val="00A11D0C"/>
    <w:rsid w:val="00A56FC4"/>
    <w:rsid w:val="00A57217"/>
    <w:rsid w:val="00A80129"/>
    <w:rsid w:val="00AC1B7F"/>
    <w:rsid w:val="00AD33F6"/>
    <w:rsid w:val="00AE4D91"/>
    <w:rsid w:val="00AF68A0"/>
    <w:rsid w:val="00B0509A"/>
    <w:rsid w:val="00B05B59"/>
    <w:rsid w:val="00B24F63"/>
    <w:rsid w:val="00B46EF5"/>
    <w:rsid w:val="00B83E4D"/>
    <w:rsid w:val="00BA0439"/>
    <w:rsid w:val="00BC043E"/>
    <w:rsid w:val="00C02FFC"/>
    <w:rsid w:val="00C30D6A"/>
    <w:rsid w:val="00C54BD6"/>
    <w:rsid w:val="00C55182"/>
    <w:rsid w:val="00C568BA"/>
    <w:rsid w:val="00CA6B9C"/>
    <w:rsid w:val="00CC3765"/>
    <w:rsid w:val="00CD24D5"/>
    <w:rsid w:val="00CD780B"/>
    <w:rsid w:val="00CE28CF"/>
    <w:rsid w:val="00D009C6"/>
    <w:rsid w:val="00D52765"/>
    <w:rsid w:val="00D62785"/>
    <w:rsid w:val="00D738D7"/>
    <w:rsid w:val="00DC0724"/>
    <w:rsid w:val="00DD2D2A"/>
    <w:rsid w:val="00DD5222"/>
    <w:rsid w:val="00DE0E49"/>
    <w:rsid w:val="00E00721"/>
    <w:rsid w:val="00E37579"/>
    <w:rsid w:val="00E74DEF"/>
    <w:rsid w:val="00EA2F19"/>
    <w:rsid w:val="00EA3391"/>
    <w:rsid w:val="00EC4D84"/>
    <w:rsid w:val="00F331A3"/>
    <w:rsid w:val="00F532C5"/>
    <w:rsid w:val="00F70DDF"/>
    <w:rsid w:val="00F847BA"/>
    <w:rsid w:val="00FC601B"/>
    <w:rsid w:val="00FE5C7C"/>
    <w:rsid w:val="00FF0842"/>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557F91"/>
    <w:rsid w:val="04B36BC9"/>
    <w:rsid w:val="04BD5BB5"/>
    <w:rsid w:val="04E71118"/>
    <w:rsid w:val="05161C0E"/>
    <w:rsid w:val="054B7CD6"/>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A6058A"/>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D54DB8"/>
    <w:rsid w:val="16E162A6"/>
    <w:rsid w:val="16F030F1"/>
    <w:rsid w:val="170333BD"/>
    <w:rsid w:val="17316D38"/>
    <w:rsid w:val="173E255F"/>
    <w:rsid w:val="178B044E"/>
    <w:rsid w:val="17B62183"/>
    <w:rsid w:val="17C64FBC"/>
    <w:rsid w:val="180E5079"/>
    <w:rsid w:val="18290C72"/>
    <w:rsid w:val="182931E3"/>
    <w:rsid w:val="1833387B"/>
    <w:rsid w:val="18570A2E"/>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046AF5"/>
    <w:rsid w:val="1B9B6F39"/>
    <w:rsid w:val="1BA244C3"/>
    <w:rsid w:val="1BAC66CA"/>
    <w:rsid w:val="1BB06484"/>
    <w:rsid w:val="1BD93EF7"/>
    <w:rsid w:val="1C113DC0"/>
    <w:rsid w:val="1C1B0311"/>
    <w:rsid w:val="1C3A47F1"/>
    <w:rsid w:val="1C95497D"/>
    <w:rsid w:val="1C9A3E8F"/>
    <w:rsid w:val="1CEB4094"/>
    <w:rsid w:val="1D3C7369"/>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B729A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593F83"/>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6351B"/>
    <w:rsid w:val="2BA87010"/>
    <w:rsid w:val="2C2321D5"/>
    <w:rsid w:val="2C5E7F90"/>
    <w:rsid w:val="2C6362E5"/>
    <w:rsid w:val="2C682D50"/>
    <w:rsid w:val="2C7F6C85"/>
    <w:rsid w:val="2CB80990"/>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3F3520"/>
    <w:rsid w:val="3A582968"/>
    <w:rsid w:val="3A7D7406"/>
    <w:rsid w:val="3AC004AF"/>
    <w:rsid w:val="3ADC2D33"/>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DE96C64"/>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241D2B"/>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A96F0A"/>
    <w:rsid w:val="5EB76D5F"/>
    <w:rsid w:val="5EB870ED"/>
    <w:rsid w:val="5F4654B2"/>
    <w:rsid w:val="5F4F3C1A"/>
    <w:rsid w:val="5F9066CE"/>
    <w:rsid w:val="5FDB64F8"/>
    <w:rsid w:val="5FFF5EFE"/>
    <w:rsid w:val="600B4380"/>
    <w:rsid w:val="602E1FAC"/>
    <w:rsid w:val="6033141C"/>
    <w:rsid w:val="603F6696"/>
    <w:rsid w:val="60473417"/>
    <w:rsid w:val="60700B45"/>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420AB3"/>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042F"/>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186A79"/>
    <w:rsid w:val="6C437DE6"/>
    <w:rsid w:val="6C59328A"/>
    <w:rsid w:val="6C730F73"/>
    <w:rsid w:val="6CCD2C3B"/>
    <w:rsid w:val="6D4943D6"/>
    <w:rsid w:val="6D8C1D98"/>
    <w:rsid w:val="6D9A4E9E"/>
    <w:rsid w:val="6D9B5524"/>
    <w:rsid w:val="6DCD0413"/>
    <w:rsid w:val="6DFA6134"/>
    <w:rsid w:val="6E204DE1"/>
    <w:rsid w:val="6E3517FE"/>
    <w:rsid w:val="6E36472A"/>
    <w:rsid w:val="6E6453D4"/>
    <w:rsid w:val="6E6C0418"/>
    <w:rsid w:val="6EC2485F"/>
    <w:rsid w:val="6ED410F1"/>
    <w:rsid w:val="6EE70AF6"/>
    <w:rsid w:val="6F0F521C"/>
    <w:rsid w:val="6F6F2EB0"/>
    <w:rsid w:val="6F853EE0"/>
    <w:rsid w:val="6FB944FB"/>
    <w:rsid w:val="6FDF733A"/>
    <w:rsid w:val="6FEF2109"/>
    <w:rsid w:val="70053DAA"/>
    <w:rsid w:val="70154E7B"/>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5E263AB"/>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2">
    <w:name w:val="heading 1"/>
    <w:basedOn w:val="3"/>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4">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5">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9">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rPr>
  </w:style>
  <w:style w:type="paragraph" w:styleId="6">
    <w:name w:val="Normal Indent"/>
    <w:basedOn w:val="1"/>
    <w:qFormat/>
    <w:uiPriority w:val="0"/>
    <w:pPr>
      <w:ind w:firstLine="420" w:firstLineChars="0"/>
    </w:pPr>
    <w:rPr>
      <w:rFonts w:ascii="Calibri" w:hAnsi="Calibri" w:eastAsia="宋体" w:cs="Times New Roman"/>
      <w:sz w:val="21"/>
      <w:szCs w:val="20"/>
    </w:rPr>
  </w:style>
  <w:style w:type="paragraph" w:styleId="7">
    <w:name w:val="annotation text"/>
    <w:basedOn w:val="1"/>
    <w:link w:val="25"/>
    <w:qFormat/>
    <w:uiPriority w:val="0"/>
    <w:pPr>
      <w:jc w:val="left"/>
    </w:pPr>
  </w:style>
  <w:style w:type="paragraph" w:styleId="8">
    <w:name w:val="Body Text 3"/>
    <w:basedOn w:val="1"/>
    <w:qFormat/>
    <w:uiPriority w:val="0"/>
    <w:rPr>
      <w:rFonts w:ascii="仿宋_GB2312"/>
      <w:spacing w:val="-4"/>
      <w:sz w:val="16"/>
      <w:szCs w:val="16"/>
    </w:rPr>
  </w:style>
  <w:style w:type="paragraph" w:styleId="9">
    <w:name w:val="Body Text"/>
    <w:basedOn w:val="1"/>
    <w:qFormat/>
    <w:uiPriority w:val="0"/>
    <w:pPr>
      <w:spacing w:after="120"/>
    </w:pPr>
    <w:rPr>
      <w:rFonts w:ascii="Calibri" w:hAnsi="Calibri"/>
      <w:sz w:val="24"/>
    </w:rPr>
  </w:style>
  <w:style w:type="paragraph" w:styleId="10">
    <w:name w:val="Date"/>
    <w:basedOn w:val="1"/>
    <w:next w:val="1"/>
    <w:qFormat/>
    <w:uiPriority w:val="0"/>
    <w:pPr>
      <w:ind w:left="100" w:leftChars="2500"/>
    </w:pPr>
    <w:rPr>
      <w:sz w:val="28"/>
    </w:rPr>
  </w:style>
  <w:style w:type="paragraph" w:styleId="11">
    <w:name w:val="footer"/>
    <w:basedOn w:val="1"/>
    <w:link w:val="21"/>
    <w:qFormat/>
    <w:uiPriority w:val="0"/>
    <w:pPr>
      <w:tabs>
        <w:tab w:val="center" w:pos="4153"/>
        <w:tab w:val="right" w:pos="8306"/>
      </w:tabs>
      <w:snapToGrid w:val="0"/>
      <w:ind w:firstLine="0" w:firstLineChars="0"/>
      <w:jc w:val="left"/>
    </w:pPr>
    <w:rPr>
      <w:rFonts w:eastAsia="宋体"/>
      <w:sz w:val="2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0"/>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5">
    <w:name w:val="annotation subject"/>
    <w:basedOn w:val="7"/>
    <w:next w:val="7"/>
    <w:link w:val="26"/>
    <w:qFormat/>
    <w:uiPriority w:val="0"/>
    <w:rPr>
      <w:b/>
      <w:bCs/>
    </w:rPr>
  </w:style>
  <w:style w:type="table" w:styleId="17">
    <w:name w:val="Table Grid"/>
    <w:basedOn w:val="1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8">
    <w:name w:val="Light Shading Accent 3"/>
    <w:basedOn w:val="16"/>
    <w:qFormat/>
    <w:uiPriority w:val="60"/>
    <w:rPr>
      <w:rFonts w:asciiTheme="minorHAnsi" w:hAnsiTheme="minorHAnsi" w:eastAsiaTheme="minorEastAsia" w:cstheme="minorBidi"/>
      <w:color w:val="7C7C7C" w:themeColor="accent3" w:themeShade="BF"/>
      <w:kern w:val="2"/>
      <w:sz w:val="21"/>
      <w:szCs w:val="22"/>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styleId="20">
    <w:name w:val="annotation reference"/>
    <w:basedOn w:val="19"/>
    <w:qFormat/>
    <w:uiPriority w:val="0"/>
    <w:rPr>
      <w:sz w:val="21"/>
      <w:szCs w:val="21"/>
    </w:rPr>
  </w:style>
  <w:style w:type="character" w:customStyle="1" w:styleId="21">
    <w:name w:val="页脚 字符"/>
    <w:basedOn w:val="19"/>
    <w:link w:val="11"/>
    <w:semiHidden/>
    <w:qFormat/>
    <w:uiPriority w:val="99"/>
    <w:rPr>
      <w:rFonts w:ascii="Times New Roman" w:hAnsi="Times New Roman" w:eastAsia="宋体"/>
      <w:sz w:val="28"/>
      <w:szCs w:val="18"/>
    </w:rPr>
  </w:style>
  <w:style w:type="paragraph" w:customStyle="1" w:styleId="22">
    <w:name w:val="List Paragraph1"/>
    <w:basedOn w:val="1"/>
    <w:qFormat/>
    <w:uiPriority w:val="0"/>
    <w:pPr>
      <w:ind w:firstLine="420"/>
    </w:pPr>
    <w:rPr>
      <w:rFonts w:ascii="Calibri" w:hAnsi="Calibri"/>
      <w:szCs w:val="22"/>
    </w:rPr>
  </w:style>
  <w:style w:type="paragraph" w:customStyle="1" w:styleId="23">
    <w:name w:val="列表段落1"/>
    <w:basedOn w:val="1"/>
    <w:unhideWhenUsed/>
    <w:qFormat/>
    <w:uiPriority w:val="99"/>
    <w:pPr>
      <w:ind w:firstLine="420"/>
    </w:pPr>
  </w:style>
  <w:style w:type="paragraph" w:styleId="24">
    <w:name w:val="List Paragraph"/>
    <w:basedOn w:val="1"/>
    <w:qFormat/>
    <w:uiPriority w:val="34"/>
    <w:pPr>
      <w:ind w:firstLine="420"/>
    </w:pPr>
  </w:style>
  <w:style w:type="character" w:customStyle="1" w:styleId="25">
    <w:name w:val="批注文字 字符"/>
    <w:basedOn w:val="19"/>
    <w:link w:val="7"/>
    <w:qFormat/>
    <w:uiPriority w:val="0"/>
    <w:rPr>
      <w:rFonts w:eastAsia="仿宋_GB2312" w:cstheme="minorBidi"/>
      <w:kern w:val="2"/>
      <w:sz w:val="32"/>
      <w:szCs w:val="24"/>
    </w:rPr>
  </w:style>
  <w:style w:type="character" w:customStyle="1" w:styleId="26">
    <w:name w:val="批注主题 字符"/>
    <w:basedOn w:val="25"/>
    <w:link w:val="15"/>
    <w:qFormat/>
    <w:uiPriority w:val="0"/>
    <w:rPr>
      <w:rFonts w:eastAsia="仿宋_GB2312" w:cstheme="minorBidi"/>
      <w:b/>
      <w:bCs/>
      <w:kern w:val="2"/>
      <w:sz w:val="32"/>
      <w:szCs w:val="24"/>
    </w:rPr>
  </w:style>
  <w:style w:type="paragraph" w:customStyle="1" w:styleId="27">
    <w:name w:val="段"/>
    <w:qFormat/>
    <w:uiPriority w:val="0"/>
    <w:pPr>
      <w:tabs>
        <w:tab w:val="center" w:pos="4201"/>
        <w:tab w:val="right" w:leader="dot" w:pos="9298"/>
      </w:tabs>
      <w:autoSpaceDE w:val="0"/>
      <w:autoSpaceDN w:val="0"/>
      <w:spacing w:line="420" w:lineRule="exact"/>
      <w:ind w:firstLine="200" w:firstLineChars="200"/>
    </w:pPr>
    <w:rPr>
      <w:rFonts w:ascii="宋体" w:hAnsi="宋体" w:eastAsia="宋体" w:cs="Times New Roman"/>
      <w:sz w:val="28"/>
      <w:lang w:val="en-US" w:eastAsia="zh-CN" w:bidi="ar-SA"/>
    </w:rPr>
  </w:style>
  <w:style w:type="table" w:customStyle="1" w:styleId="28">
    <w:name w:val="TableGrid"/>
    <w:qFormat/>
    <w:uiPriority w:val="0"/>
    <w:pPr>
      <w:spacing w:after="0" w:line="240" w:lineRule="auto"/>
    </w:p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1B2D8-35B5-4337-9C43-532BB6A450D6}">
  <ds:schemaRefs/>
</ds:datastoreItem>
</file>

<file path=docProps/app.xml><?xml version="1.0" encoding="utf-8"?>
<Properties xmlns="http://schemas.openxmlformats.org/officeDocument/2006/extended-properties" xmlns:vt="http://schemas.openxmlformats.org/officeDocument/2006/docPropsVTypes">
  <Template>Normal.dotm</Template>
  <Pages>4</Pages>
  <Words>2055</Words>
  <Characters>2098</Characters>
  <Lines>27</Lines>
  <Paragraphs>7</Paragraphs>
  <TotalTime>2</TotalTime>
  <ScaleCrop>false</ScaleCrop>
  <LinksUpToDate>false</LinksUpToDate>
  <CharactersWithSpaces>2123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2024-07-19T02:01:00Z</dcterms:created>
  <dc:creator>黄山红牡丹</dc:creator>
  <cp:lastModifiedBy>13119135682</cp:lastModifiedBy>
  <cp:lastPrinted>2019-06-25T02:30:00Z</cp:lastPrinted>
  <dcterms:modified xsi:type="dcterms:W3CDTF">2025-07-24T01:31:23Z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9FBD1ABF512F4FB087513907C25027F6_13</vt:lpwstr>
  </property>
  <property fmtid="{D5CDD505-2E9C-101B-9397-08002B2CF9AE}" pid="4" name="KSOTemplateDocerSaveRecord">
    <vt:lpwstr>eyJoZGlkIjoiNTQ1YTcwOTc1ZDUxNTcwOGNiZjNiNTdiY2QzOTc1YTgiLCJ1c2VySWQiOiI5NjYxMjMwNzMifQ==</vt:lpwstr>
  </property>
</Properties>
</file>