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65.</w:t>
      </w:r>
      <w:bookmarkEnd w:id="0"/>
      <w:r>
        <w:rPr>
          <w:rFonts w:hint="eastAsia" w:ascii="黑体" w:hAnsi="黑体" w:eastAsia="黑体"/>
          <w:b/>
          <w:bCs/>
          <w:kern w:val="0"/>
          <w:szCs w:val="32"/>
          <w:lang w:val="en-US" w:eastAsia="zh-CN"/>
        </w:rPr>
        <w:t>土壤有机碳不同形态的测定技术开发</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西安燧石科技有限公司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资源与环境</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本公司主要做重金属检测，其中存在一些土壤需要测定其溶解性有机碳、颗粒有机碳、矿物结合态有机碳、微生物量碳等碳形态，由于土壤样品的复杂性使得部分样品检测结果精度和重复性较差，现需更明确、简洁、重复性更优的土壤分组方式及前处理技术或方法，包括但不限于提供不同形态碳测定时采用何种方式将采集土壤分组；用何种溶剂提取不同形态的碳；提取、消解时所需的溶剂、温度和压力等。</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土壤各种碳形态测定的背景主要源于对土壤质量评估及农业可持续发展的需求。不同形态碳在土壤中的分布和转化直接影响作物生长、土壤肥力及碳循环过程。主要应用于土壤质量评估（土壤有机碳（SOC）是衡量土壤质量的核心指标，占土壤总碳的70%以上，直接影响作物养分吸收和结构稳定性。通过测定不同形态碳（如有机碳、无机碳、元素碳），可精准评估土壤肥力及碳固定能力，为农业管理提供科学依据。），应对气候变化挑战（全球气候变化导致极端天气频发，影响作物产量稳定性。土壤有机碳提升可增强土壤缓冲能力，减少气候变异对农业的影响。</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F0D5211">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土壤中不同形态碳的测定涉及多种分析方法，其技术难点主要体现在样品处理、分离纯度及检测精度等方面：</w:t>
            </w:r>
          </w:p>
          <w:p w14:paraId="3F4F6C27">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（1）样品前处理复杂（土壤有机碳测定需剔除植物残体、石块等杂质，并通过风干、研磨等步骤处理，操作繁琐且易引入误差。 氯仿熏蒸法 需在真空干燥器中抽气24小时，过程耗时且需严格密封控制）；</w:t>
            </w:r>
          </w:p>
          <w:p w14:paraId="6652DE8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（2）分离技术挑战（铁结合态有机碳与矿物结合态有机碳 的分离依赖密度梯度或粒径分级法，但这些方法存在交叉污染风险，难以完全区分不同结合态碳）；</w:t>
            </w:r>
          </w:p>
          <w:p w14:paraId="1FF5FC9C">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（3）检测精度要求高（重铬酸钾氧化法 需精确控制温度和反应时间，另外如何避免六价铬残留污染环境；</w:t>
            </w:r>
          </w:p>
          <w:p w14:paraId="0CEB9212">
            <w:pPr>
              <w:spacing w:line="360" w:lineRule="exact"/>
              <w:ind w:firstLine="560"/>
              <w:rPr>
                <w:rFonts w:hint="default" w:ascii="Times New Roman" w:hAnsi="Times New Roman" w:eastAsia="仿宋_GB2312"/>
                <w:sz w:val="24"/>
                <w:lang w:val="en-US" w:eastAsia="zh-CN"/>
              </w:rPr>
            </w:pPr>
            <w:r>
              <w:rPr>
                <w:rFonts w:hint="eastAsia" w:ascii="仿宋" w:hAnsi="仿宋" w:eastAsia="仿宋" w:cs="宋体"/>
                <w:sz w:val="28"/>
                <w:szCs w:val="28"/>
                <w:lang w:val="en-US" w:eastAsia="zh-CN"/>
              </w:rPr>
              <w:t>（4）TOC分析仪测定需高纯水稀释样本，稀释倍数选择直接影响结果准确性，如何选择恰当比例和参数需要提供相关技术支撑。</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2A03160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（1）测定误差范围小于10%，</w:t>
            </w:r>
          </w:p>
          <w:p w14:paraId="61004F75">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（2）实验室内质控及重复性误差小于5%。</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7BC3FCA1">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针对土壤中各形态碳含量检测，存在技术升级需求，当前系统已初步完成土壤总有机碳检测，可进行手工滴定测试，检测结果与国标要求（平行误差小于2%）契合，但是精度与准度达不到客户（平行误差小于0.5%）的要求，误差比较大。希望合作方提供相关技术可进一步提升测试精度，同时可做到不同形态碳含量的测定，包括于但不限于土壤溶解性有机碳、颗粒有机碳、矿物结合态有机碳、微生物量碳等。</w:t>
            </w:r>
          </w:p>
          <w:p w14:paraId="5F4929F5">
            <w:pPr>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75B0241F">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公司现有规模、26人、场地900平方米、有电感耦合等离子体光谱仪3台，电感耦合等离子体质谱仪2台。</w:t>
            </w:r>
          </w:p>
          <w:p w14:paraId="0EC9AB05">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前处理复杂且危险，需要加入浓硫酸并需要高温消解，危险系数较高，存在实验流程复杂，耗时特别长，人工需求量大，人员技术层次不齐等问题。</w:t>
            </w:r>
          </w:p>
          <w:p w14:paraId="7A50339A">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检测精度差，目前本实验室仅能进行手工检测，滴定管精度为0.05mL，计算结果偏差较大。</w:t>
            </w:r>
          </w:p>
          <w:p w14:paraId="4202941E">
            <w:pPr>
              <w:pStyle w:val="24"/>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302B9667">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投入资金和人才投入300万元主要用于采样、制样团队（约15人），以及有专业环境测试人员11人。</w:t>
            </w:r>
          </w:p>
          <w:p w14:paraId="27B41428">
            <w:pPr>
              <w:pStyle w:val="24"/>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DA7CF35">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ascii="Times New Roman" w:hAnsi="Times New Roman" w:eastAsia="仿宋_GB2312"/>
                <w:color w:val="FF0000"/>
                <w:kern w:val="0"/>
                <w:sz w:val="24"/>
              </w:rPr>
            </w:pPr>
            <w:r>
              <w:rPr>
                <w:rFonts w:hint="eastAsia" w:ascii="仿宋" w:hAnsi="仿宋" w:eastAsia="仿宋" w:cs="宋体"/>
                <w:sz w:val="28"/>
                <w:szCs w:val="28"/>
                <w:lang w:val="en-US" w:eastAsia="zh-CN"/>
              </w:rPr>
              <w:t>环刀，振动筛，真空干燥箱，油浴锅，抽滤机，滴定管等。</w:t>
            </w:r>
          </w:p>
          <w:p w14:paraId="46B58AFF">
            <w:pPr>
              <w:pStyle w:val="24"/>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具备一定的实验室条件，实验室符合国标用水要求，配备新风系统，能达到国标要求的检测标准。</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0"/>
              <w:rPr>
                <w:rFonts w:hint="eastAsia"/>
                <w:sz w:val="24"/>
              </w:rPr>
            </w:pPr>
            <w:r>
              <w:rPr>
                <w:rFonts w:hint="eastAsia" w:ascii="仿宋" w:hAnsi="仿宋" w:eastAsia="仿宋" w:cs="宋体"/>
                <w:sz w:val="28"/>
                <w:szCs w:val="28"/>
                <w:lang w:val="en-US" w:eastAsia="zh-CN"/>
              </w:rPr>
              <w:t>希望寻求国内外高校和科研院所对以上技术问题进行委托研发，解决土壤中各形态碳含量检测技术中的关键问题，可采用有机元素分析仪，TOC分析仪等高端设备，以及需要专业测试人员，代替手工测试，提升检测精度与算法优化能力，提升我们产品的竞争力。</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2"/>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6"/>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B6453"/>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261275"/>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6">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Arial" w:hAnsi="Arial" w:eastAsia="黑体"/>
      <w:sz w:val="20"/>
    </w:rPr>
  </w:style>
  <w:style w:type="paragraph" w:styleId="4">
    <w:name w:val="Title"/>
    <w:basedOn w:val="1"/>
    <w:qFormat/>
    <w:uiPriority w:val="0"/>
    <w:pPr>
      <w:spacing w:before="240" w:after="60"/>
      <w:jc w:val="center"/>
      <w:outlineLvl w:val="0"/>
    </w:pPr>
    <w:rPr>
      <w:rFonts w:ascii="Arial" w:hAnsi="Arial"/>
      <w:b/>
    </w:rPr>
  </w:style>
  <w:style w:type="paragraph" w:styleId="7">
    <w:name w:val="Normal Indent"/>
    <w:basedOn w:val="1"/>
    <w:qFormat/>
    <w:uiPriority w:val="0"/>
    <w:pPr>
      <w:ind w:firstLine="420" w:firstLineChars="0"/>
    </w:pPr>
    <w:rPr>
      <w:rFonts w:ascii="Calibri" w:hAnsi="Calibri" w:eastAsia="宋体" w:cs="Times New Roman"/>
      <w:sz w:val="21"/>
      <w:szCs w:val="20"/>
    </w:rPr>
  </w:style>
  <w:style w:type="paragraph" w:styleId="8">
    <w:name w:val="annotation text"/>
    <w:basedOn w:val="1"/>
    <w:link w:val="25"/>
    <w:qFormat/>
    <w:uiPriority w:val="0"/>
    <w:pPr>
      <w:jc w:val="left"/>
    </w:pPr>
  </w:style>
  <w:style w:type="paragraph" w:styleId="9">
    <w:name w:val="Body Text 3"/>
    <w:basedOn w:val="1"/>
    <w:qFormat/>
    <w:uiPriority w:val="0"/>
    <w:rPr>
      <w:rFonts w:ascii="仿宋_GB2312"/>
      <w:spacing w:val="-4"/>
      <w:sz w:val="16"/>
      <w:szCs w:val="16"/>
    </w:rPr>
  </w:style>
  <w:style w:type="paragraph" w:styleId="10">
    <w:name w:val="Body Text"/>
    <w:basedOn w:val="1"/>
    <w:qFormat/>
    <w:uiPriority w:val="0"/>
    <w:pPr>
      <w:spacing w:after="120"/>
    </w:pPr>
    <w:rPr>
      <w:rFonts w:ascii="Calibri" w:hAnsi="Calibri"/>
      <w:sz w:val="24"/>
    </w:rPr>
  </w:style>
  <w:style w:type="paragraph" w:styleId="11">
    <w:name w:val="Date"/>
    <w:basedOn w:val="1"/>
    <w:next w:val="1"/>
    <w:qFormat/>
    <w:uiPriority w:val="0"/>
    <w:pPr>
      <w:ind w:left="100" w:leftChars="2500"/>
    </w:pPr>
    <w:rPr>
      <w:sz w:val="28"/>
    </w:rPr>
  </w:style>
  <w:style w:type="paragraph" w:styleId="12">
    <w:name w:val="footer"/>
    <w:basedOn w:val="1"/>
    <w:link w:val="21"/>
    <w:qFormat/>
    <w:uiPriority w:val="0"/>
    <w:pPr>
      <w:tabs>
        <w:tab w:val="center" w:pos="4153"/>
        <w:tab w:val="right" w:pos="8306"/>
      </w:tabs>
      <w:snapToGrid w:val="0"/>
      <w:ind w:firstLine="0" w:firstLineChars="0"/>
      <w:jc w:val="left"/>
    </w:pPr>
    <w:rPr>
      <w:rFonts w:eastAsia="宋体"/>
      <w:sz w:val="2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annotation subject"/>
    <w:basedOn w:val="8"/>
    <w:next w:val="8"/>
    <w:link w:val="26"/>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annotation reference"/>
    <w:basedOn w:val="19"/>
    <w:qFormat/>
    <w:uiPriority w:val="0"/>
    <w:rPr>
      <w:sz w:val="21"/>
      <w:szCs w:val="21"/>
    </w:rPr>
  </w:style>
  <w:style w:type="character" w:customStyle="1" w:styleId="21">
    <w:name w:val="页脚 字符"/>
    <w:basedOn w:val="19"/>
    <w:link w:val="12"/>
    <w:semiHidden/>
    <w:qFormat/>
    <w:uiPriority w:val="99"/>
    <w:rPr>
      <w:rFonts w:ascii="Times New Roman" w:hAnsi="Times New Roman" w:eastAsia="宋体"/>
      <w:sz w:val="28"/>
      <w:szCs w:val="18"/>
    </w:rPr>
  </w:style>
  <w:style w:type="paragraph" w:customStyle="1" w:styleId="22">
    <w:name w:val="List Paragraph1"/>
    <w:basedOn w:val="1"/>
    <w:qFormat/>
    <w:uiPriority w:val="0"/>
    <w:pPr>
      <w:ind w:firstLine="420"/>
    </w:pPr>
    <w:rPr>
      <w:rFonts w:ascii="Calibri" w:hAnsi="Calibri"/>
      <w:szCs w:val="22"/>
    </w:rPr>
  </w:style>
  <w:style w:type="paragraph" w:customStyle="1" w:styleId="23">
    <w:name w:val="列表段落1"/>
    <w:basedOn w:val="1"/>
    <w:unhideWhenUsed/>
    <w:qFormat/>
    <w:uiPriority w:val="99"/>
    <w:pPr>
      <w:ind w:firstLine="420"/>
    </w:pPr>
  </w:style>
  <w:style w:type="paragraph" w:styleId="24">
    <w:name w:val="List Paragraph"/>
    <w:basedOn w:val="1"/>
    <w:qFormat/>
    <w:uiPriority w:val="34"/>
    <w:pPr>
      <w:ind w:firstLine="420"/>
    </w:pPr>
  </w:style>
  <w:style w:type="character" w:customStyle="1" w:styleId="25">
    <w:name w:val="批注文字 字符"/>
    <w:basedOn w:val="19"/>
    <w:link w:val="8"/>
    <w:qFormat/>
    <w:uiPriority w:val="0"/>
    <w:rPr>
      <w:rFonts w:eastAsia="仿宋_GB2312" w:cstheme="minorBidi"/>
      <w:kern w:val="2"/>
      <w:sz w:val="32"/>
      <w:szCs w:val="24"/>
    </w:rPr>
  </w:style>
  <w:style w:type="character" w:customStyle="1" w:styleId="26">
    <w:name w:val="批注主题 字符"/>
    <w:basedOn w:val="25"/>
    <w:link w:val="15"/>
    <w:qFormat/>
    <w:uiPriority w:val="0"/>
    <w:rPr>
      <w:rFonts w:eastAsia="仿宋_GB2312" w:cstheme="minorBidi"/>
      <w:b/>
      <w:bCs/>
      <w:kern w:val="2"/>
      <w:sz w:val="32"/>
      <w:szCs w:val="24"/>
    </w:rPr>
  </w:style>
  <w:style w:type="paragraph" w:customStyle="1" w:styleId="27">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2025-07-24T15:24:43Z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C92C4AD151A341888CA5011527347ECF_13</vt:lpwstr>
  </property>
  <property fmtid="{D5CDD505-2E9C-101B-9397-08002B2CF9AE}" pid="4" name="KSOTemplateDocerSaveRecord">
    <vt:lpwstr>eyJoZGlkIjoiNTQ1YTcwOTc1ZDUxNTcwOGNiZjNiNTdiY2QzOTc1YTgiLCJ1c2VySWQiOiI5NjYxMjMwNzMifQ==</vt:lpwstr>
  </property>
</Properties>
</file>