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71.</w:t>
      </w:r>
      <w:bookmarkEnd w:id="0"/>
      <w:r>
        <w:rPr>
          <w:rFonts w:hint="eastAsia" w:ascii="黑体" w:hAnsi="黑体" w:eastAsia="黑体"/>
          <w:b/>
          <w:bCs/>
          <w:kern w:val="0"/>
          <w:szCs w:val="32"/>
          <w:lang w:val="en-US" w:eastAsia="zh-CN"/>
        </w:rPr>
        <w:t>基于工业物联网的实时碳足迹监测采集系统开发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中碳科创(西安)绿色低碳发展有限公司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资源与环境领域</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当前制造业普遍面临碳核算能力不足的困境，许多企业仍依赖于纸质材料记录、时效性滞后的历史数据以及人工录入与计算等传统方式开展产品碳足迹核算，导致核算结果精度低、时效性差，难以满足日益严格的碳排放监管要求和国际贸易中的碳关税合规需求，严重制约了企业绿色转型和国际竞争力提升。如果能实现基于工业物联网的实时碳足迹管理平台，通过嵌入式传感器网络实现生产全流程的能耗、物料及废弃物流数据毫秒级采集，结合数字孪生技术构建碳排放动态模型，则可以精确快速地生成低误差率的合规报告，大幅缩短产品碳足迹生成的时间，为我国构建全球碳数据话语权、破解“绿色贸易壁垒”提供关键技术基础设施。</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2AD61465">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jc w:val="both"/>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（1）技术需求背景：</w:t>
            </w:r>
          </w:p>
          <w:p w14:paraId="261AB8FE">
            <w:pPr>
              <w:pStyle w:val="23"/>
              <w:keepNext w:val="0"/>
              <w:keepLines w:val="0"/>
              <w:pageBreakBefore w:val="0"/>
              <w:widowControl w:val="0"/>
              <w:numPr>
                <w:numId w:val="0"/>
              </w:numPr>
              <w:kinsoku/>
              <w:wordWrap/>
              <w:overflowPunct/>
              <w:topLinePunct w:val="0"/>
              <w:autoSpaceDE/>
              <w:autoSpaceDN/>
              <w:bidi w:val="0"/>
              <w:adjustRightInd/>
              <w:snapToGrid/>
              <w:spacing w:line="360" w:lineRule="exact"/>
              <w:ind w:firstLine="560" w:firstLineChars="200"/>
              <w:jc w:val="both"/>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①政策背景：为落实党的二十届三中全会关于构建产品碳足迹管理体系的重要部署，助力培育和发展新质生产力，按照《中共中央 国务院关于完整准确全面贯彻新发展理念做好碳达峰碳中和工作的意见》《2030年前碳达峰行动方案》《建立健全碳达峰碳中和标准计量体系实施方案》《关于建立碳足迹管理体系的实施方案》《产品碳足迹核算标准编制工作指引》等政策指示，陕西省生态环境厅等14部门亦于2025年3月联合印发《陕西省建立碳足迹管理体系工作方案》。综上，产品碳足迹管理蓄势待发，目前正处于标准建立与工具研发阶段。</w:t>
            </w:r>
          </w:p>
          <w:p w14:paraId="5F00E66F">
            <w:pPr>
              <w:pStyle w:val="23"/>
              <w:keepNext w:val="0"/>
              <w:keepLines w:val="0"/>
              <w:pageBreakBefore w:val="0"/>
              <w:widowControl w:val="0"/>
              <w:numPr>
                <w:numId w:val="0"/>
              </w:numPr>
              <w:kinsoku/>
              <w:wordWrap/>
              <w:overflowPunct/>
              <w:topLinePunct w:val="0"/>
              <w:autoSpaceDE/>
              <w:autoSpaceDN/>
              <w:bidi w:val="0"/>
              <w:adjustRightInd/>
              <w:snapToGrid/>
              <w:spacing w:line="360" w:lineRule="exact"/>
              <w:ind w:firstLine="560" w:firstLineChars="200"/>
              <w:jc w:val="both"/>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②国际背景：全球气候治理规则加速重构，欧盟碳边境调节机制（CBAM）、美国《清洁竞争法案》（CCA）等碳关税政策将产品全生命周期碳足迹纳入贸易壁垒核心指标，国际供应链碳足迹追溯、跨境碳关税申报等场景的实时性、高精度要求逐步攀升，催生年均超百亿规模的工业级碳管理服务需求。</w:t>
            </w:r>
          </w:p>
          <w:p w14:paraId="553C302B">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jc w:val="both"/>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（2）应用领域：</w:t>
            </w:r>
          </w:p>
          <w:p w14:paraId="17377033">
            <w:pPr>
              <w:pStyle w:val="23"/>
              <w:keepNext w:val="0"/>
              <w:keepLines w:val="0"/>
              <w:pageBreakBefore w:val="0"/>
              <w:widowControl w:val="0"/>
              <w:numPr>
                <w:numId w:val="0"/>
              </w:numPr>
              <w:kinsoku/>
              <w:wordWrap/>
              <w:overflowPunct/>
              <w:topLinePunct w:val="0"/>
              <w:autoSpaceDE/>
              <w:autoSpaceDN/>
              <w:bidi w:val="0"/>
              <w:adjustRightInd/>
              <w:snapToGrid/>
              <w:spacing w:line="360" w:lineRule="exact"/>
              <w:ind w:firstLine="560" w:firstLineChars="200"/>
              <w:jc w:val="both"/>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①生产优化：该技术可广泛应用于发电、水泥、钢铁、化工、汽车等高碳排行业的生产工艺优化。</w:t>
            </w:r>
          </w:p>
          <w:p w14:paraId="06742D51">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②出口认证：光伏组件、动力电池等出口型产品的碳足迹认证，同时兼容多国碳关税申报系统接口（如中国CPTPP、美国清洁竞争法案CCA、欧盟CBAM），助力企业将碳数据转化为应对绿色贸易壁垒的战略资产，同步支撑国家“双碳”目标与国际气候承诺的落地实践。</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需要攻克在复杂工业场景下的数据收集完整度与准确度挑战；需解决数字孪生模型与实际产线的动态同步难题；需要构建支持多个碳排放核算标准和规则的智能映射技术；需要实现边缘侧数据脱敏处理与各项认证标准的合规校验，在确保商业隐私安全前提下完成云端碳数据存证与跨境互认。</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76413BE1">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（1）数据采集维度：支持不低于50种原料流与工艺流程的实时监测、采集频率适宜。</w:t>
            </w:r>
          </w:p>
          <w:p w14:paraId="0E2BE88D">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（2）核算精度：全生命周期碳足迹核算误差率≤±3%（对标第三方机构手工核算结果）。</w:t>
            </w:r>
          </w:p>
          <w:p w14:paraId="73772C52">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（3）标准兼容性：内置ISO、IPCC、PAS等多种国内外主流核算标准，支持更新且一键生成多格式报告。</w:t>
            </w:r>
          </w:p>
          <w:p w14:paraId="40A1B1DA">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（4）模型同步能力与稳定性：数字孪生模型与实际产线状态延迟≤5min，工业环境连续运行故障率＜0.1次/月，支持-25℃~70℃宽温域部署。</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目前已完成需求的调研、需求方案书写、人员配置安排工作，项目的资金正在积极筹备。</w:t>
            </w:r>
          </w:p>
          <w:p w14:paraId="5F4929F5">
            <w:pPr>
              <w:keepNext w:val="0"/>
              <w:keepLines w:val="0"/>
              <w:pageBreakBefore w:val="0"/>
              <w:widowControl w:val="0"/>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宋体"/>
                <w:b/>
                <w:bCs/>
                <w:kern w:val="2"/>
                <w:sz w:val="28"/>
                <w:szCs w:val="28"/>
                <w:lang w:val="en-US" w:eastAsia="zh-CN" w:bidi="ar-SA"/>
              </w:rPr>
            </w:pPr>
            <w:r>
              <w:rPr>
                <w:rFonts w:hint="eastAsia" w:ascii="仿宋" w:hAnsi="仿宋" w:eastAsia="仿宋" w:cs="宋体"/>
                <w:b/>
                <w:bCs/>
                <w:kern w:val="2"/>
                <w:sz w:val="28"/>
                <w:szCs w:val="28"/>
                <w:lang w:val="en-US" w:eastAsia="zh-CN" w:bidi="ar-SA"/>
              </w:rPr>
              <w:t>2.所处阶段</w:t>
            </w:r>
          </w:p>
          <w:p w14:paraId="407646B3">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jc w:val="both"/>
              <w:textAlignment w:val="auto"/>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共分为四个阶段，需求调研、筹备工作、需求开发、大规模推广应用，目前处于第二阶段。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jc w:val="both"/>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计划投入资金147.5万，前端工程师2人，后端工程师1人，数据库工程师1人，传感器控制系统工程师2人、UI设计师1人。</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4E5002D9">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jc w:val="both"/>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服务器采用部署华为云服务器，PC端操作系统windows10。</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2230B6E4">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jc w:val="both"/>
              <w:textAlignment w:val="auto"/>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满足研发测试的网络。</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目前遇到的技术难点在于传感器，尤其是多场景数据采集智能化、自动化、精确度以及传感器的调校，因此希望和此方面领域专家团队的高校和科研院所、硬件制造商开展产学研合作。</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6F661E4"/>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2025-07-24T02:10:41Z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FB41A656E946432A96651B127A493574_13</vt:lpwstr>
  </property>
  <property fmtid="{D5CDD505-2E9C-101B-9397-08002B2CF9AE}" pid="4" name="KSOTemplateDocerSaveRecord">
    <vt:lpwstr>eyJoZGlkIjoiNTQ1YTcwOTc1ZDUxNTcwOGNiZjNiNTdiY2QzOTc1YTgiLCJ1c2VySWQiOiI5NjYxMjMwNzMifQ==</vt:lpwstr>
  </property>
</Properties>
</file>