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73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</w:rPr>
        <w:t>超低能耗建筑智能围护结构调控系统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开发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陕西建科发展建设有限公司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建筑业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新能源与节能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41B24376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在夏热冬冷地区，由于冬季湿冷、夏季炎热、昼夜温差大、建筑能耗峰值波动剧烈，传统被动围护结构难以同时兼顾隔热保温、湿度调节、空气流通与智能响应，导致空调及供暖系统负荷较大，无法实现建筑超低能耗运行目标。本项目拟开发一种面向该气候区的智能可调控围护结构系统，融合新型多功能材料与智能传感调控技术，实现围护结构自适应响应外界环境变化，从而提升建筑热工性能，降低整体能耗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42D7015E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随着“双碳”目标推进，超低能耗建筑成为绿色建筑发展的重点方向。夏热冬冷地区（如长江流域）建筑能耗占比高，保温隔热需求复杂，传统围护系统技术路径单一、调控滞后，已难以满足高标准节能与舒适性要求。通过智能围护结构系统实现“建筑即设备”的调控能力，成为该区域建筑节能升级的关键突破口。应用领域包括：公共建筑（学校、医院、政府办公楼等）；商业综合体、超高层建筑；被动式住宅、装配式绿色建筑；城市更新与既有建筑节能改造项目；近零能耗与可再生能源示范建筑工程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6AD469DB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（1）多功能围护结构复合材料（含相变调温层、可调透光层、隔热反射层等）的集成设计与耐久性控制；</w:t>
            </w:r>
          </w:p>
          <w:p w14:paraId="42AAF169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（2）适配夏热冬冷气候特征的通风换热-遮阳隔热-保温隔湿多维耦合调控机制；</w:t>
            </w:r>
          </w:p>
          <w:p w14:paraId="2BDFE035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（3）环境参数实时采集、热工参数动态模拟与智能响应算法的集成；</w:t>
            </w:r>
          </w:p>
          <w:p w14:paraId="49FFB678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（4）多传感器组网与边缘计算的低功耗嵌入式硬件开发；</w:t>
            </w:r>
          </w:p>
          <w:p w14:paraId="206203E9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（5）围护构件的结构一体化与建筑标准适配性设计（如幕墙一体化、预制拼装）；</w:t>
            </w:r>
          </w:p>
          <w:p w14:paraId="2E57186B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（6）与建筑其他系统（HVAC、新风、光伏等）协同运行与节能最优控制。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7CF7C8E2">
            <w:pPr>
              <w:pStyle w:val="23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（1）围护结构整体热阻提升≥35%（相较常规节能建筑）；</w:t>
            </w:r>
          </w:p>
          <w:p w14:paraId="2DD4F8AF">
            <w:pPr>
              <w:pStyle w:val="23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（2）年综合能耗降低≥50%；</w:t>
            </w:r>
          </w:p>
          <w:p w14:paraId="70085A88">
            <w:pPr>
              <w:pStyle w:val="23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（3）室内温度波动幅度控制在±1.5℃；</w:t>
            </w:r>
          </w:p>
          <w:p w14:paraId="248CCDB4">
            <w:pPr>
              <w:pStyle w:val="23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（4）空调负荷降低≥40%，采暖负荷降低≥30%；</w:t>
            </w:r>
          </w:p>
          <w:p w14:paraId="1A2FB76E">
            <w:pPr>
              <w:pStyle w:val="23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（5）相变调温响应时间≤10分钟，控温稳定性误差≤±1℃；</w:t>
            </w:r>
          </w:p>
          <w:p w14:paraId="12CC59AB">
            <w:pPr>
              <w:pStyle w:val="23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（6）智能调控系统响应时间≤2分钟，控制准确率≥95%；</w:t>
            </w:r>
          </w:p>
          <w:p w14:paraId="5A67364D">
            <w:pPr>
              <w:pStyle w:val="23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（7）系统寿命≥20年，关键功能单元可维护率≥90%；</w:t>
            </w:r>
          </w:p>
          <w:p w14:paraId="71756E27">
            <w:pPr>
              <w:pStyle w:val="23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（8）可适配建筑外围护系统模数化装配标准，施工周期缩短≥20%。</w:t>
            </w:r>
          </w:p>
          <w:p w14:paraId="5E5D14F2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  <w:lang w:val="en-US" w:eastAsia="zh-CN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其他</w:t>
            </w:r>
          </w:p>
          <w:p w14:paraId="05F7ACEE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可支持手机APP、BIM平台远程操控与能耗可视化展示；提供碳足迹追踪接口，具备绿色建筑星级认证支撑能力；支持建筑生命周期内热工行为分析与维护策略优化；系统组件具备良好可拆解性与可回收性，符合绿色建材发展趋势；可与光伏幕墙、绿植系统、雨水回收等绿色设施协同集成；适用于严苛的夏热冬冷地区气候，包括武汉、南京、成都等重点城市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293224A2">
            <w:pPr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已在多个超低能耗实验建筑项目中验证相变储能材料、智能调光膜、通风双层外窗等关键技术的热工性能；开展了气象数据驱动的室温预测与调控模型研究，取得阶段性成果。</w:t>
            </w:r>
          </w:p>
          <w:p w14:paraId="5F4929F5">
            <w:pPr>
              <w:spacing w:line="360" w:lineRule="exact"/>
              <w:rPr>
                <w:rFonts w:hint="eastAsia" w:ascii="仿宋" w:hAnsi="仿宋" w:eastAsia="仿宋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2.所处阶段</w:t>
            </w:r>
          </w:p>
          <w:p w14:paraId="687D95A8">
            <w:pPr>
              <w:pStyle w:val="23"/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目前处于原型系统集成与建筑样板间测试阶段，关键构件模具化、系统测试平台与软硬件接口联调工作正在进行。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59910456">
            <w:pPr>
              <w:pStyle w:val="23"/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项目已累计投入资金逾300万元，核心研发团队约12人，涵盖绿色建筑、热工仿真、材料工程、智能控制、嵌入式系统开发等专业领域。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5BCBF397">
            <w:pPr>
              <w:pStyle w:val="23"/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配备热流计、红外热像仪、热性能测试装置、环境舱、气候模拟平台、控制系统测试台架、建筑能耗模拟平台等实验条件。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09BB7730">
            <w:pPr>
              <w:pStyle w:val="23"/>
              <w:spacing w:line="360" w:lineRule="exact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与装配式建筑企业、节能门窗龙头企业、高性能涂层与膜材供应商建立长期合作，可实现系统级中试和场景化验证部署。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pStyle w:val="23"/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希望与具有技术创新能力和按时交付能力的团队，共同实现项目目标，并按时达成技术指标。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46F8B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3E0225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5E263AB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255</Words>
  <Characters>266</Characters>
  <Lines>27</Lines>
  <Paragraphs>7</Paragraphs>
  <TotalTime>1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2025-07-24T02:20:37Z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09B23122EA904C3283C14DA546152F8D_13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