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76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eastAsia="zh-CN"/>
        </w:rPr>
        <w:t>智能工厂标准化调度系统开发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西安达升科技股份有限公司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制造业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先进制造与自动化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本需求旨在构建标准化的 AGV 调度系统，实现多来源任务统一接入、行为树驱动的可复用执行流程和可靠的多车协同/资源预占。通过统一通信与结构化日志、动态路径规划与交管、库位/充电/任务状态可视化等能力，保障高并发场景的稳定性、可追溯性与一致性。最终形成可跨平台迁移的调度核心，为后续规模化复制和智能优化奠定基础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5CCB6B3D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（1）背景</w:t>
            </w:r>
          </w:p>
          <w:p w14:paraId="73ACF217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随着工厂内部物流自动化水平提升，现有调度系统由多个临时模块堆叠而成：任务策略散乱、车辆行为硬编码、通信不统一、资源竞争处理简单。随着车辆数量、业务种类与外部接口的增加，系统在 可维护性、可扩展性、稳定性 方面的瓶颈日益显现。为支撑后续客户项目复制与规模化交付，需要构建“标准化调度系统”，形成可配置、可观测、可演化的核心平台。</w:t>
            </w:r>
          </w:p>
          <w:p w14:paraId="4CD04AA6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（2）技术应用领域：</w:t>
            </w:r>
          </w:p>
          <w:p w14:paraId="6DCCAA87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①智能制造内部物流：多工位叫料、样品配送、库区腾挪。</w:t>
            </w:r>
          </w:p>
          <w:p w14:paraId="5FB6F048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②仓储搬运：空满料车自动流转、库位优化。</w:t>
            </w:r>
          </w:p>
          <w:p w14:paraId="2BD9CCC0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③多车协同与能源管理：充电与任务无缝衔接。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5A310DF1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（1）统一建模与解耦：需为任务、车辆、资源、路径、行为节点建立清晰领域模型，避免耦合。</w:t>
            </w:r>
          </w:p>
          <w:p w14:paraId="26F0CE5D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（2）多线程并发与一致性控制：任务队列、行为树 Tick、通信接收/解析、数据库写入并行执行，需锁粒度与原子性设计。</w:t>
            </w:r>
          </w:p>
          <w:p w14:paraId="7F298A44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（3）行为树执行的可中断性与阶段推进：节点需支持条件跳过、阶段推进、异常回滚、可视化调试。</w:t>
            </w:r>
          </w:p>
          <w:p w14:paraId="77AA53A7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（4）路径与交管融合：实时识别接下来区域，提前 多个点位预申请锁，失败时策略降级与排队。</w:t>
            </w:r>
          </w:p>
          <w:p w14:paraId="5C581EBC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（5）死锁检测与恢复：基于资源有向图或等待图的循环检测与解锁策略（超时回退/重新规划）。</w:t>
            </w:r>
          </w:p>
          <w:p w14:paraId="3B9FEFE2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（6）通信协议抽象与性能：原生 UDP 换用 LiteNetLib 后的封包、心跳、断线重连、变量批量写入性能优化。</w:t>
            </w:r>
          </w:p>
          <w:p w14:paraId="01C285ED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（7）数据可信与防人工绕过：所有物料流转必须来源于系统记录，防止线下放样导致库存错乱。</w:t>
            </w:r>
          </w:p>
          <w:p w14:paraId="1E9879E4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（8）指标采集与可观测性：需要统一采集调度延迟、任务成功率、车辆利用率、死锁事件次数等。</w:t>
            </w:r>
          </w:p>
          <w:p w14:paraId="1BEEF208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（9）跨程序一致性与接口治理：多程序分层后需保证任务、库位、权限、日志在不同进程/数据库间的一致性与幂等；需定义统一 DTO、错误码、签名/鉴权机制。</w:t>
            </w:r>
          </w:p>
          <w:p w14:paraId="38C7E789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（10）任务回放与仿真隔离：调度程序需在不影响生产的情况下加载历史事件或仿真数据源，支持“影子运行”对比真实策略。</w:t>
            </w:r>
          </w:p>
          <w:p w14:paraId="041B7D7A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（11）总部/项目双层日志链路：公司服务端集中聚合后还需支持检索、脱敏、告警与数据回流（如导航异常反哺路径优化）。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FC206AA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（1）任务分配平均延迟≤2秒；</w:t>
            </w:r>
          </w:p>
          <w:p w14:paraId="4254F8FB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（2）车辆利用率提升≥15%（相对现状基线）；</w:t>
            </w:r>
          </w:p>
          <w:p w14:paraId="4B69DDAC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（3）死锁/冲突自动解除成功率≥95%；</w:t>
            </w:r>
          </w:p>
          <w:p w14:paraId="16BC11D2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（4）任务成功率（当日）≥99%；</w:t>
            </w:r>
          </w:p>
          <w:p w14:paraId="052BC881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（5）系统稳定性（7×24 运行）年可用性≥99.5%；</w:t>
            </w:r>
          </w:p>
          <w:p w14:paraId="0BD581C2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（6）行为树节点可复用率≥80%（常见业务通过配置组合）；</w:t>
            </w:r>
          </w:p>
          <w:p w14:paraId="6A2220A4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（7）通信丢包恢复时间≤3秒；</w:t>
            </w:r>
          </w:p>
          <w:p w14:paraId="1F3AA5D6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（8）关键操作日志覆盖率100%。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172910B2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（1）已实现基础调度框架：任务队列、超时自动分配、阶段式执行。</w:t>
            </w:r>
          </w:p>
          <w:p w14:paraId="1D7236BC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（2）已落地多种业务流程：线边叫料（拉空/拉满）、库区腾挪、样品配送、空满车转换。</w:t>
            </w:r>
          </w:p>
          <w:p w14:paraId="41AA9B5F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（3）行为树雏形：部分动作节点、进度枚举（MaterialTaskProgress）与同步 Tick 机制。</w:t>
            </w:r>
          </w:p>
          <w:p w14:paraId="49175385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（4）通信层改造计划已启动：由自研分包转向 LiteNetLib，逐步统一日志与变量写入。</w:t>
            </w:r>
          </w:p>
          <w:p w14:paraId="60C3FDF0">
            <w:pPr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（5）前端可视化：车辆状态、任务列表、充电状态、库位/样品到期预警页面。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58FBFE43"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技术研发初期：核心模型已明确，进入标准化抽象、性能与稳定性攻关阶段。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7DF3A768"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（1）人才：软件调度开发、算法（路径规划/死锁检测）、网络通信（UDP）、前端可视化、测试工程师。</w:t>
            </w:r>
          </w:p>
          <w:p w14:paraId="5E2EC62D"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（2）资金：用于软件研发、人力、测试环境与部分仿真/真实车辆联调。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26D7D53B"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若干台 AGV 车辆（含充电桩、二维码/激光混合导航传感器）。</w:t>
            </w:r>
          </w:p>
          <w:p w14:paraId="411BFE7E"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调度与数据库服务器、仿真测试环境。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pStyle w:val="23"/>
              <w:spacing w:line="360" w:lineRule="exact"/>
              <w:ind w:firstLine="48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已具备（现网运行基础 + 可迭代代码仓库 + 部署环境）。</w:t>
            </w:r>
          </w:p>
          <w:p w14:paraId="05DDF86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  <w:lang w:val="en-US" w:eastAsia="zh-CN"/>
              </w:rPr>
              <w:t>6.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其他</w:t>
            </w:r>
          </w:p>
          <w:p w14:paraId="52019DEF">
            <w:pPr>
              <w:pStyle w:val="23"/>
              <w:spacing w:line="360" w:lineRule="exact"/>
              <w:ind w:firstLine="560"/>
              <w:rPr>
                <w:rFonts w:hint="eastAsia" w:ascii="Times New Roman" w:hAnsi="Times New Roman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需要建立持续集成、自动化回归测试与日志分析平台。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D45AB">
            <w:pPr>
              <w:spacing w:line="360" w:lineRule="exact"/>
              <w:ind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希望与在智能调度、路径规划、并发控制、工业通信方向具备经验的高校/科研院所合作，引入在图算法、调度优化、形式化验证等方面的专家团队，共建可复用算法库与实验验证平台。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>■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963E66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AF1BB3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2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2025-07-25T04:52:09Z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1CD47B98DB5A47A7A0D7BAE704901BFA_13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