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78.</w:t>
      </w:r>
      <w:bookmarkEnd w:id="0"/>
      <w:r>
        <w:rPr>
          <w:rFonts w:hint="eastAsia" w:ascii="黑体" w:hAnsi="黑体" w:eastAsia="黑体"/>
          <w:b/>
          <w:bCs/>
          <w:kern w:val="0"/>
          <w:szCs w:val="32"/>
          <w:lang w:val="en-US" w:eastAsia="zh-CN"/>
        </w:rPr>
        <w:t>基于AI自动识别检测的细胞培养箱研发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陕西维乾青诚科技有限公司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生物与新医药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传统细胞培养箱仅具备基础的温湿度控制和环境稳定功能，无法实现对细胞状态的自动识别、实时检测和智能反馈控制。目前对细胞培养过程中的形态变化、污染状态、密度变化等信息，仍主要依赖人工观察、周期性显微镜检查和外部分析，存在信息滞后、干预延迟及人为误差等问题。本项目旨在开发一种基于AI视觉识别的智能细胞培养箱系统，集成高分辨成像设备与深度学习算法，实现对细胞生长状态、污染风险等的非接触式、实时监测和智能预警与控制，提升细胞培养质量、自动化水平与实验效率。</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随着生物制药、干细胞治疗、再生医学、疫苗开发等领域的发展，细胞培养对环境稳定性和过程可控性的要求愈发严格。尤其在大规模生产或精准研究过程中，对细胞密度、形态、污染、死亡率等状态变化的动态检测与响应控制成为影响实验效率和成果质量的关键因素。AI视觉识别技术的兴起，特别是图像分割、目标检测、时序识别等模型的成熟，为细胞自动识别与异常判断提供了新的解决思路。应用领域：生命科学研究机构的细胞培养工作站；生物制药企业的细胞制品生产线；干细胞治疗与再生医学实验平台；医学院校的实验教学与培训中心；疫苗研发和病原体筛查场景。</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如何在高湿、密闭、恒温等苛刻环境下稳定集成高分辨成像设备，确保图像质量；基于多类细胞样本建立具备泛化能力的图像识别模型，实现细胞密度判断、状态识别（分裂、坏死、污染等）；实现检测结果与培养箱调控系统联动（如温度、CO₂浓度、气体流速调整等）；数据存储、模型训练与部署需保障安全性、隐私性与快速性；解决培养容器（如培养瓶、培养板）光反射、冷凝、模糊等图像干扰因素。</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40A1B1DA">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图像采集频率：≥1次/10分钟（可设定）；AI识别准确率：细胞分布密度识别误差≤5%，污染识别灵敏度≥95%；培养环境控制精度：温度波动±0.1℃，CO₂浓度波动±0.2%；支持多种容器形式（6孔板、T瓶、培养皿等）识别与调整；系统可远程监控，具备数据自动存储与可视化回溯能力；模块化设计，便于升级或与现有培养箱系统对接；培养空间不少于80L，支持双层或多层并行培养。</w:t>
            </w:r>
          </w:p>
          <w:p w14:paraId="39A58D67">
            <w:pPr>
              <w:spacing w:line="360" w:lineRule="exact"/>
              <w:ind w:firstLine="560"/>
              <w:rPr>
                <w:rFonts w:hint="eastAsia" w:ascii="仿宋" w:hAnsi="仿宋" w:eastAsia="仿宋" w:cs="宋体"/>
                <w:b/>
                <w:bCs/>
                <w:sz w:val="28"/>
                <w:szCs w:val="28"/>
                <w:lang w:val="en-US" w:eastAsia="zh-CN"/>
              </w:rPr>
            </w:pPr>
            <w:r>
              <w:rPr>
                <w:rFonts w:hint="eastAsia" w:ascii="仿宋" w:hAnsi="仿宋" w:eastAsia="仿宋" w:cs="宋体"/>
                <w:b/>
                <w:bCs/>
                <w:sz w:val="28"/>
                <w:szCs w:val="28"/>
                <w:lang w:val="en-US" w:eastAsia="zh-CN"/>
              </w:rPr>
              <w:t>5.其他</w:t>
            </w:r>
          </w:p>
          <w:p w14:paraId="21BAC86D">
            <w:pPr>
              <w:spacing w:line="360" w:lineRule="exact"/>
              <w:ind w:firstLine="560"/>
              <w:rPr>
                <w:rFonts w:hint="default" w:ascii="宋体" w:hAnsi="宋体" w:eastAsia="宋体"/>
                <w:sz w:val="24"/>
                <w:lang w:val="en-US" w:eastAsia="zh-CN"/>
              </w:rPr>
            </w:pPr>
            <w:r>
              <w:rPr>
                <w:rFonts w:hint="eastAsia" w:ascii="仿宋" w:hAnsi="仿宋" w:eastAsia="仿宋" w:cs="宋体"/>
                <w:sz w:val="28"/>
                <w:szCs w:val="28"/>
                <w:lang w:val="en-US" w:eastAsia="zh-CN"/>
              </w:rPr>
              <w:t>系统应支持模型在线迭代与本地部署，支持GPU边缘计算盒集成；支持通过移动设备App或Web端平台远程查看细胞状态和历史趋势；可配置污染预警、过密预警等多级提示机制；支持与实验室LIMS系统对接，便于流程化实验管理；可作为AI教学示范平台，助力高校科研训练和数据集积累。</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rPr>
                <w:rFonts w:hint="eastAsia" w:ascii="仿宋" w:hAnsi="仿宋" w:eastAsia="仿宋" w:cs="宋体"/>
                <w:b/>
                <w:bCs/>
                <w:sz w:val="28"/>
                <w:szCs w:val="28"/>
              </w:rPr>
            </w:pPr>
            <w:r>
              <w:rPr>
                <w:rFonts w:hint="eastAsia" w:ascii="仿宋" w:hAnsi="仿宋" w:eastAsia="仿宋" w:cs="宋体"/>
                <w:sz w:val="28"/>
                <w:szCs w:val="28"/>
                <w:lang w:val="en-US" w:eastAsia="zh-CN"/>
              </w:rPr>
              <w:t>已完成现有主流培养箱的结构适配性研究与图像采集测试；完成典型细胞图像（如293T、HepG2、hMSC等）样本库的建立与标注；开发初版图像处理与密度识别算法，并验证可在部分场景下准确运行。</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目前处于AI模型训练与系统集成设计阶段，已有部分功能模块原型；下一步将进入整机样机构建与验证测试阶段。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0966D216">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项目已投入前期研发资金约120万元，核心团队由AI算法工程师、生物实验技术专家、嵌入式系统开发人员组成，共计8人。</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spacing w:line="360" w:lineRule="exact"/>
              <w:rPr>
                <w:rFonts w:hint="eastAsia" w:ascii="仿宋" w:hAnsi="仿宋" w:eastAsia="仿宋" w:cs="宋体"/>
                <w:b/>
                <w:bCs/>
                <w:sz w:val="28"/>
                <w:szCs w:val="28"/>
              </w:rPr>
            </w:pPr>
            <w:r>
              <w:rPr>
                <w:rFonts w:hint="eastAsia" w:ascii="仿宋" w:hAnsi="仿宋" w:eastAsia="仿宋" w:cs="宋体"/>
                <w:sz w:val="28"/>
                <w:szCs w:val="28"/>
                <w:lang w:val="en-US" w:eastAsia="zh-CN"/>
              </w:rPr>
              <w:t>已配备AI训练服务器、显微图像采集系统、标准CO₂培养箱、3D结构打样设备和嵌入式开发平台等设备；具备AI模型训练与集成验证能力。</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36CF7D8A">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依托合作企业的标准实验室和机加平台，具备系统组装与批量验证的基础；可在GMP或洁净实验室环境中开展设备试点部署。</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rPr>
                <w:rFonts w:hint="eastAsia"/>
                <w:sz w:val="24"/>
              </w:rPr>
            </w:pPr>
            <w:r>
              <w:rPr>
                <w:rFonts w:hint="eastAsia" w:ascii="仿宋" w:hAnsi="仿宋" w:eastAsia="仿宋" w:cs="宋体"/>
                <w:sz w:val="28"/>
                <w:szCs w:val="28"/>
                <w:lang w:val="en-US" w:eastAsia="zh-CN"/>
              </w:rPr>
              <w:t>希望与相关专业的技术团队合作，但不限于高校院所，需要相关技术团队能按时完成相关技术指标。</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0421A"/>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2025-07-24T02:33:57Z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0640B61FC51249B99FCD6204D5C694BF_13</vt:lpwstr>
  </property>
  <property fmtid="{D5CDD505-2E9C-101B-9397-08002B2CF9AE}" pid="4" name="KSOTemplateDocerSaveRecord">
    <vt:lpwstr>eyJoZGlkIjoiNTQ1YTcwOTc1ZDUxNTcwOGNiZjNiNTdiY2QzOTc1YTgiLCJ1c2VySWQiOiI5NjYxMjMwNzMifQ==</vt:lpwstr>
  </property>
</Properties>
</file>