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86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智慧工厂</w:t>
      </w:r>
      <w:r>
        <w:rPr>
          <w:rFonts w:hint="eastAsia" w:ascii="黑体" w:hAnsi="黑体" w:eastAsia="黑体"/>
          <w:b/>
          <w:bCs/>
          <w:kern w:val="0"/>
          <w:szCs w:val="32"/>
        </w:rPr>
        <w:t>数据管理系统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中创未来(西安)科技有限公司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高技术服务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64ACA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通过开发一套定制化的智慧工厂数据管理系统，解决当前工厂数据分散、信息孤岛、实时性不足等问题，具体目标包括：</w:t>
            </w:r>
          </w:p>
          <w:p w14:paraId="16A5E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集成多源数据：打通设备、生产、仓储等环节的数据壁垒，实现统一采集与标准化处理；</w:t>
            </w:r>
          </w:p>
          <w:p w14:paraId="524C2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优化决策支持：基于实时数据分析与可视化，提升生产调度、故障预警等环节的响应效率；</w:t>
            </w:r>
          </w:p>
          <w:p w14:paraId="5F329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保障数据安全：通过权限管理和加密技术确保工业数据可靠性；</w:t>
            </w:r>
          </w:p>
          <w:p w14:paraId="09AF6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验证系统效能：结合甲方实际场景测试系统稳定性与扩展性，为行业提供可复用的技术方案。研究成果将助力甲方降本增效，并为制造业数字化转型提供实践参考。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750EB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（1）传统工厂面临以下痛点：</w:t>
            </w:r>
          </w:p>
          <w:p w14:paraId="302B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数据孤岛：设备、生产、仓储等环节数据分散，无法协同分析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55EB4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效率低下：依赖人工经验调度，设备故障响应滞后（平均停机时间≥4小时）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16705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能耗与质量不可控：缺乏实时监控手段，不良品率普遍高于行业标准15%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4A355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（2）涉及的技术领域包括：</w:t>
            </w:r>
          </w:p>
          <w:p w14:paraId="5FC78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物联网（IoT）：通过传感器、RFID等设备实现设备与数据的实时互联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1C306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工业大数据分析：基于时序数据挖掘、机器学习算法（如ARIMA、LSTM）优化生产决策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6B7FA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数字孪生：构建虚拟工厂模型，模拟物理设备运行状态与工艺参数调整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63C43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边缘计算与云计算协同：在数据源头进行预处理，降低网络延迟并提升响应速度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7F00C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数据采集与治理</w:t>
            </w:r>
          </w:p>
          <w:p w14:paraId="6FAAB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部署边缘计算节点，集成传感器、PLC等设备，支持5G/TSN网络实现毫秒级数据采集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建立数据中台，统一编码物料、设备、工艺参数等数据，消除结构化与非结构化数据壁垒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229CC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智能分析与决策</w:t>
            </w:r>
          </w:p>
          <w:p w14:paraId="41D1E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应用ARIMA模型预测物料供需，结合LSTM算法实现设备故障预测（精度≥90%）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开发数字孪生平台，模拟生产能耗优化方案，降低单位产品能耗8%-12%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0567E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系统架构与功能</w:t>
            </w:r>
          </w:p>
          <w:p w14:paraId="4E24F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构建分层架构：感知层（设备联网）、平台层（微服务+容器化部署）、应用层（BI看板、移动端监控）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开发核心模块：MES（生产调度）、WMS（仓储管理）、SCADA（实时监控），支持柔性制造与质量追溯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4797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试点部署阶段</w:t>
            </w:r>
          </w:p>
          <w:p w14:paraId="27E58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选择一条生产线进行试点，部署边缘计算节点5个，联网设备覆盖率≥95%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526BF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完成数据中台搭建，实现ERP、MES系统数据互通，日均处理数据量≥10TB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25412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数据治理与算法训练​</w:t>
            </w:r>
          </w:p>
          <w:p w14:paraId="4CC3F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清洗历史数据（异常值剔除率≤5%），训练ARIMA模型预测物料供应（误差率≤8%）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7B56C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构建数字孪生模型，模拟极端工况（如设备过载）验证系统鲁棒性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61CC7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全厂推广与验收​</w:t>
            </w:r>
          </w:p>
          <w:p w14:paraId="2A23D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分阶段上线MES、WMS模块，实现库存周转率提升18%，设备故障率下降30%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  <w:p w14:paraId="1CAEC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验收标准：系统稳定性（7×24小时运行）、数据采集准确率≥99%</w:t>
            </w: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6554D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调研、开发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已交付，正在测试系统稳定性</w:t>
            </w:r>
          </w:p>
          <w:p w14:paraId="4202941E">
            <w:pPr>
              <w:pStyle w:val="24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90万元，本科及以上软硬件系统开发技术人员</w:t>
            </w:r>
          </w:p>
          <w:p w14:paraId="27B41428">
            <w:pPr>
              <w:pStyle w:val="24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所需设备均齐全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1037">
            <w:pPr>
              <w:spacing w:line="360" w:lineRule="exact"/>
              <w:ind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倾向于与具备信息技术领域学科优势（如AI、大数据）、实践转化能力及区域产业匹配的高校及科研院所合作，优先选择拥有国家级科研平台或成熟产学研经验（如共建实验室、产业研究院）的机构。合作专家需在信息化核心领域（云计算、智能系统等）具备学术积淀与产业化经验，团队需跨学科、年轻化（45岁以下≥50%），核心成员含高级职称或博士，且有省级以上项目经验。带头人应具备技术攻关与成果转化能力（如专利、标准）。双方通过共建联合实验室、研究院等载体，推动技术共研、人才共育及产业链协同，实现技术落地与产业升级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5D019D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5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6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Strong"/>
    <w:qFormat/>
    <w:uiPriority w:val="0"/>
    <w:rPr>
      <w:b/>
    </w:rPr>
  </w:style>
  <w:style w:type="character" w:styleId="20">
    <w:name w:val="annotation reference"/>
    <w:basedOn w:val="18"/>
    <w:qFormat/>
    <w:uiPriority w:val="0"/>
    <w:rPr>
      <w:sz w:val="21"/>
      <w:szCs w:val="21"/>
    </w:rPr>
  </w:style>
  <w:style w:type="character" w:customStyle="1" w:styleId="21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2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3">
    <w:name w:val="列表段落1"/>
    <w:basedOn w:val="1"/>
    <w:unhideWhenUsed/>
    <w:qFormat/>
    <w:uiPriority w:val="99"/>
    <w:pPr>
      <w:ind w:firstLine="420"/>
    </w:pPr>
  </w:style>
  <w:style w:type="paragraph" w:styleId="24">
    <w:name w:val="List Paragraph"/>
    <w:basedOn w:val="1"/>
    <w:qFormat/>
    <w:uiPriority w:val="34"/>
    <w:pPr>
      <w:ind w:firstLine="420"/>
    </w:pPr>
  </w:style>
  <w:style w:type="character" w:customStyle="1" w:styleId="25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6">
    <w:name w:val="批注主题 字符"/>
    <w:basedOn w:val="25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2025-07-24T03:53:41Z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CF744C609BC04B0CA74067B0FEACD2EB_13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