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3" w:name="_GoBack"/>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93.</w:t>
      </w:r>
      <w:bookmarkEnd w:id="0"/>
      <w:r>
        <w:rPr>
          <w:rFonts w:hint="eastAsia" w:ascii="黑体" w:hAnsi="黑体" w:eastAsia="黑体"/>
          <w:b/>
          <w:bCs/>
          <w:kern w:val="0"/>
          <w:szCs w:val="32"/>
          <w:lang w:val="en-US" w:eastAsia="zh-CN"/>
        </w:rPr>
        <w:t>重载货运防爆电源管理系统研发</w:t>
      </w:r>
    </w:p>
    <w:bookmarkEnd w:id="3"/>
    <w:tbl>
      <w:tblPr>
        <w:tblStyle w:val="1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2"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lang w:eastAsia="zh-CN"/>
              </w:rPr>
            </w:pPr>
            <w:r>
              <w:rPr>
                <w:rFonts w:hint="eastAsia" w:ascii="仿宋" w:hAnsi="仿宋" w:eastAsia="仿宋" w:cs="宋体"/>
                <w:sz w:val="28"/>
                <w:szCs w:val="28"/>
              </w:rPr>
              <w:t>西安旗耘智迅电子科技有限公司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制造业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新材料</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■产品研发（产品升级、新产品研发）</w:t>
            </w:r>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6"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41B24376">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重载铁路货运行业缺乏适配重载列车恶劣环境的一体化供电解决方案，导致冷链运输、智能监测等场景长期受制于电源短缺，为解决该问题，需针对性开发基于车轴动能转换的电源管理系统，为货运重载列车提供动力补偿。</w:t>
            </w:r>
          </w:p>
          <w:p w14:paraId="02AA09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74CC78AD">
            <w:pPr>
              <w:pStyle w:val="23"/>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 xml:space="preserve">（1）技术需求提出背景 </w:t>
            </w:r>
          </w:p>
          <w:p w14:paraId="18EDDC5E">
            <w:pPr>
              <w:pStyle w:val="23"/>
              <w:spacing w:line="360" w:lineRule="exact"/>
              <w:ind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重载铁路货运作为大宗商品运输的核心方式，其运输环境具有强振动、宽温域（-40℃~+70℃）、高电磁干扰等显著特点。当前行业内缺乏能适配此类恶劣工况的一体化供电方案，现有电源系统难以满足持续稳定供电需求，导致冷链运输中冷藏设备电力不足、智能监测传感器因电源短缺无法常态化运行等问题长期存在，制约了重载货运向智能化、多元化（如温控运输）升级。为此，针对性开发基于车轴动能转换的电源管理系统，成为解决重载列车供电瓶颈的关键需求。</w:t>
            </w:r>
          </w:p>
          <w:p w14:paraId="162CD097">
            <w:pPr>
              <w:pStyle w:val="23"/>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 xml:space="preserve">（2）技术应用领域 </w:t>
            </w:r>
          </w:p>
          <w:p w14:paraId="5BFDFB1C">
            <w:pPr>
              <w:pStyle w:val="23"/>
              <w:spacing w:line="360" w:lineRule="exact"/>
              <w:ind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 xml:space="preserve">该技术主要应用于重载货运列车的车载供电场景，核心服务于两类需求： </w:t>
            </w:r>
          </w:p>
          <w:p w14:paraId="181CC107">
            <w:pPr>
              <w:pStyle w:val="23"/>
              <w:spacing w:line="360" w:lineRule="exact"/>
              <w:ind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①冷链运输场景：为列车冷藏箱、温控设备提供持续稳定的24V直流电源，保障生鲜、精密仪器等货物的运输环境达标；</w:t>
            </w:r>
          </w:p>
          <w:p w14:paraId="2DAA736B">
            <w:pPr>
              <w:pStyle w:val="23"/>
              <w:spacing w:line="360" w:lineRule="exact"/>
              <w:ind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 xml:space="preserve">②智能监测场景：为列车状态监测传感器（如轴温、振动监测）、通信终端等设备供电，支撑重载列车智能化运维； </w:t>
            </w:r>
          </w:p>
          <w:p w14:paraId="196C659C">
            <w:pPr>
              <w:pStyle w:val="23"/>
              <w:spacing w:line="360" w:lineRule="exact"/>
              <w:ind w:firstLine="560" w:firstLineChars="200"/>
              <w:rPr>
                <w:rFonts w:hint="eastAsia" w:ascii="宋体" w:hAnsi="宋体" w:eastAsia="宋体" w:cs="宋体"/>
                <w:szCs w:val="21"/>
              </w:rPr>
            </w:pPr>
            <w:r>
              <w:rPr>
                <w:rFonts w:hint="eastAsia" w:ascii="仿宋" w:hAnsi="仿宋" w:eastAsia="仿宋" w:cs="宋体"/>
                <w:kern w:val="2"/>
                <w:sz w:val="28"/>
                <w:szCs w:val="28"/>
                <w:lang w:val="en-US" w:eastAsia="zh-CN" w:bidi="ar-SA"/>
              </w:rPr>
              <w:t>③其宽电压适配、高抗干扰性的特性，可拓展至重载列车应急供电、车载辅助设备（如照明、小型工具）等领域，为列车多样化用电需求提供一体化解决方案。</w:t>
            </w:r>
          </w:p>
          <w:p w14:paraId="761EB3A1">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3EA3EE80">
            <w:pPr>
              <w:pStyle w:val="23"/>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货运列车中对电源管理系统的抗干扰及运营稳定性有较高的要求，传统电池组无法满足要求。开发难点在于在满足货运列车要求的前提下，选择合适的电池方案，并针对该电池方案开发出与货车轴端发电机适配的自适应电源管理系统。</w:t>
            </w:r>
          </w:p>
          <w:p w14:paraId="05AB6BF3">
            <w:pPr>
              <w:pStyle w:val="23"/>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（1）要求输出功率满足车载设备基础供电需求；</w:t>
            </w:r>
          </w:p>
          <w:p w14:paraId="7DCFF134">
            <w:pPr>
              <w:pStyle w:val="23"/>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（2）实现精准电量监测与快速故障保护，支持本地数据记录功能；</w:t>
            </w:r>
          </w:p>
          <w:p w14:paraId="096BD1F2">
            <w:pPr>
              <w:pStyle w:val="23"/>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（3）宽电压输入适配，高效率电能转换，符合铁路电磁兼容标准。</w:t>
            </w:r>
          </w:p>
          <w:p w14:paraId="5226785F">
            <w:pPr>
              <w:pStyle w:val="23"/>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（4）具备抗干扰能力，具备强电磁环境下的稳定供电能力。</w:t>
            </w:r>
          </w:p>
          <w:p w14:paraId="7184B625">
            <w:pPr>
              <w:pStyle w:val="23"/>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（5）测试方面：需要样机设计方案并需车辆厂配合上车测试，以及第三方机构按铁路标准出具环境适应性、电磁兼容性等报告；因EMC测试仪等设备未到位，需支持设备采购或共享实验室资源。</w:t>
            </w:r>
          </w:p>
          <w:p w14:paraId="546ACF99">
            <w:pPr>
              <w:pStyle w:val="23"/>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 xml:space="preserve">（6）推广方面：产品推广试用难，需协助联系铁路局、中车集团等推动小批量试用，利用政策降低试用方风险，同时建立数据共享协议以收集数据优化产品。 </w:t>
            </w:r>
          </w:p>
          <w:p w14:paraId="1212EB24">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54245DB1">
            <w:pPr>
              <w:pStyle w:val="23"/>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（1）轴端发电DCDC转换模块定制化： 10V-75V输入28.3V输出DC-DC关键参数</w:t>
            </w:r>
          </w:p>
          <w:p w14:paraId="28D2EC10">
            <w:pPr>
              <w:pStyle w:val="23"/>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①输入：DC14V-80V（整流后电压范围14V-70V）；</w:t>
            </w:r>
          </w:p>
          <w:p w14:paraId="15E649F5">
            <w:pPr>
              <w:pStyle w:val="23"/>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②输出：DC24V,最大电流12A；</w:t>
            </w:r>
          </w:p>
          <w:p w14:paraId="50458BD6">
            <w:pPr>
              <w:pStyle w:val="23"/>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③功率：最大300W；</w:t>
            </w:r>
          </w:p>
          <w:p w14:paraId="32BE99D8">
            <w:pPr>
              <w:pStyle w:val="23"/>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④效率：90%以上；</w:t>
            </w:r>
          </w:p>
          <w:p w14:paraId="7A1669FE">
            <w:pPr>
              <w:pStyle w:val="23"/>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⑤散热方式：传导散热（导冷）；</w:t>
            </w:r>
          </w:p>
          <w:p w14:paraId="7706443D">
            <w:pPr>
              <w:pStyle w:val="23"/>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⑥系统工作环境温度为－40℃～＋70℃，最低存放温度：-40℃；</w:t>
            </w:r>
          </w:p>
          <w:p w14:paraId="006D1225">
            <w:pPr>
              <w:pStyle w:val="23"/>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⑦体积：1500*90*30mm（可适当调整）；</w:t>
            </w:r>
          </w:p>
          <w:p w14:paraId="31A74F77">
            <w:pPr>
              <w:pStyle w:val="23"/>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（2）铁路使用特种电池： 24V-120AH可充电电池关键参数；</w:t>
            </w:r>
          </w:p>
          <w:p w14:paraId="2834C8E6">
            <w:pPr>
              <w:pStyle w:val="23"/>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①容量：120AH；</w:t>
            </w:r>
          </w:p>
          <w:p w14:paraId="41CF8BED">
            <w:pPr>
              <w:pStyle w:val="23"/>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②重量：45kg以内；</w:t>
            </w:r>
          </w:p>
          <w:p w14:paraId="463963E1">
            <w:pPr>
              <w:pStyle w:val="23"/>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③长宽高：340*260*210</w:t>
            </w:r>
          </w:p>
          <w:p w14:paraId="61DC90C0">
            <w:pPr>
              <w:pStyle w:val="23"/>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④内阻：7.0mOΩ；</w:t>
            </w:r>
          </w:p>
          <w:p w14:paraId="6CAA8BD0">
            <w:pPr>
              <w:pStyle w:val="23"/>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⑤最大放电电流：600A；</w:t>
            </w:r>
          </w:p>
          <w:p w14:paraId="68605CF4">
            <w:pPr>
              <w:pStyle w:val="23"/>
              <w:spacing w:line="360" w:lineRule="exact"/>
              <w:ind w:firstLine="0"/>
              <w:rPr>
                <w:rFonts w:hint="default"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⑥充电要求：最大充电电流18A；循环使用/浮充试用。</w:t>
            </w: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0355E6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开展的工作</w:t>
            </w:r>
          </w:p>
          <w:p w14:paraId="293224A2">
            <w:pPr>
              <w:pStyle w:val="23"/>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目前进行了充分的市场调研，目前我国现存K6转向架货运列车60万节车厢，全球约300万节，该项目市场空间较大，收益预期良好，我司针对该项目已筹集部分资金用于前期项目研发。</w:t>
            </w:r>
          </w:p>
          <w:p w14:paraId="5F4929F5">
            <w:pPr>
              <w:spacing w:line="360" w:lineRule="exact"/>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所处阶段</w:t>
            </w:r>
          </w:p>
          <w:p w14:paraId="350EA08B">
            <w:pPr>
              <w:pStyle w:val="23"/>
              <w:spacing w:line="360" w:lineRule="exact"/>
              <w:ind w:firstLine="0"/>
              <w:rPr>
                <w:rFonts w:ascii="宋体" w:hAnsi="宋体" w:eastAsia="宋体" w:cs="宋体"/>
                <w:bCs/>
                <w:szCs w:val="21"/>
              </w:rPr>
            </w:pPr>
            <w:r>
              <w:rPr>
                <w:rFonts w:hint="eastAsia" w:ascii="仿宋" w:hAnsi="仿宋" w:eastAsia="仿宋" w:cs="宋体"/>
                <w:kern w:val="2"/>
                <w:sz w:val="28"/>
                <w:szCs w:val="28"/>
                <w:lang w:val="en-US" w:eastAsia="zh-CN" w:bidi="ar-SA"/>
              </w:rPr>
              <w:t>该项目预算大约人民币1000万元，计划投入项目负责人1名、技术人员4名组织科研攻关。</w:t>
            </w:r>
          </w:p>
          <w:p w14:paraId="4202941E">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投入资金和人才</w:t>
            </w:r>
          </w:p>
          <w:p w14:paraId="37299E40">
            <w:pPr>
              <w:pStyle w:val="23"/>
              <w:spacing w:line="360" w:lineRule="exact"/>
              <w:ind w:firstLine="0"/>
              <w:rPr>
                <w:rFonts w:ascii="宋体" w:hAnsi="宋体" w:eastAsia="宋体" w:cs="宋体"/>
                <w:bCs/>
                <w:szCs w:val="21"/>
              </w:rPr>
            </w:pPr>
            <w:r>
              <w:rPr>
                <w:rFonts w:hint="eastAsia" w:ascii="仿宋" w:hAnsi="仿宋" w:eastAsia="仿宋" w:cs="宋体"/>
                <w:kern w:val="2"/>
                <w:sz w:val="28"/>
                <w:szCs w:val="28"/>
                <w:lang w:val="en-US" w:eastAsia="zh-CN" w:bidi="ar-SA"/>
              </w:rPr>
              <w:t>已计划购置环境试验箱、测功机、功率分析仪、EMC测试仪、绝缘电阻测试仪等设备对拟研制产品进行测试。</w:t>
            </w:r>
          </w:p>
          <w:p w14:paraId="27B41428">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仪器设备</w:t>
            </w:r>
          </w:p>
          <w:p w14:paraId="09BB7730">
            <w:pPr>
              <w:pStyle w:val="23"/>
              <w:spacing w:line="360" w:lineRule="exact"/>
              <w:ind w:firstLine="0"/>
              <w:rPr>
                <w:rFonts w:hint="eastAsia" w:ascii="仿宋" w:hAnsi="仿宋" w:eastAsia="仿宋" w:cs="宋体"/>
                <w:sz w:val="28"/>
                <w:szCs w:val="28"/>
                <w:lang w:val="en-US" w:eastAsia="zh-CN"/>
              </w:rPr>
            </w:pPr>
            <w:r>
              <w:rPr>
                <w:rFonts w:hint="eastAsia" w:ascii="仿宋" w:hAnsi="仿宋" w:eastAsia="仿宋" w:cs="宋体"/>
                <w:kern w:val="2"/>
                <w:sz w:val="28"/>
                <w:szCs w:val="28"/>
                <w:lang w:val="en-US" w:eastAsia="zh-CN" w:bidi="ar-SA"/>
              </w:rPr>
              <w:t>需要协调车辆厂，在产品研制后进行上车在线运行测试。</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26FD7EFA">
            <w:pPr>
              <w:spacing w:line="360" w:lineRule="exact"/>
              <w:ind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对于合作单位的要求有三方面：</w:t>
            </w:r>
          </w:p>
          <w:p w14:paraId="601E396F">
            <w:pPr>
              <w:spacing w:line="360" w:lineRule="exact"/>
              <w:ind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1.需要对蓄电瓶电源应用、铅酸类电池管理有多年丰富经验积累，并且能够持续稳定的提供优质电池产品；</w:t>
            </w:r>
          </w:p>
          <w:p w14:paraId="4550DFDD">
            <w:pPr>
              <w:spacing w:line="360" w:lineRule="exact"/>
              <w:ind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2.能够提供完整的BMS系统解决方案；</w:t>
            </w:r>
          </w:p>
          <w:p w14:paraId="2DE2666C">
            <w:pPr>
              <w:spacing w:line="360" w:lineRule="exact"/>
              <w:ind w:left="0" w:leftChars="0" w:firstLine="560" w:firstLineChars="200"/>
              <w:rPr>
                <w:rFonts w:hint="eastAsia"/>
                <w:sz w:val="24"/>
              </w:rPr>
            </w:pPr>
            <w:r>
              <w:rPr>
                <w:rFonts w:hint="eastAsia" w:ascii="仿宋" w:hAnsi="仿宋" w:eastAsia="仿宋" w:cs="宋体"/>
                <w:kern w:val="2"/>
                <w:sz w:val="28"/>
                <w:szCs w:val="28"/>
                <w:lang w:val="en-US" w:eastAsia="zh-CN" w:bidi="ar-SA"/>
              </w:rPr>
              <w:t>3.团队成员稳定，具备良好的协调配合能力。</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□共建新研发、生产实体</w:t>
            </w:r>
          </w:p>
        </w:tc>
      </w:tr>
      <w:bookmarkEnd w:id="1"/>
      <w:bookmarkEnd w:id="2"/>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1"/>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5"/>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2"/>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267C10"/>
    <w:rsid w:val="04557F91"/>
    <w:rsid w:val="04B36BC9"/>
    <w:rsid w:val="04BD5BB5"/>
    <w:rsid w:val="04E71118"/>
    <w:rsid w:val="05161C0E"/>
    <w:rsid w:val="054B7CD6"/>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AF1BB3"/>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046AF5"/>
    <w:rsid w:val="1B9B6F39"/>
    <w:rsid w:val="1BA244C3"/>
    <w:rsid w:val="1BAC66CA"/>
    <w:rsid w:val="1BB06484"/>
    <w:rsid w:val="1BD93EF7"/>
    <w:rsid w:val="1C113DC0"/>
    <w:rsid w:val="1C1B0311"/>
    <w:rsid w:val="1C3A47F1"/>
    <w:rsid w:val="1C95497D"/>
    <w:rsid w:val="1C9A3E8F"/>
    <w:rsid w:val="1CEB4094"/>
    <w:rsid w:val="1D3C7369"/>
    <w:rsid w:val="1D646F8B"/>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B729A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593F83"/>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682D50"/>
    <w:rsid w:val="2C7F6C85"/>
    <w:rsid w:val="2CB80990"/>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5DB0FD5"/>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3F3520"/>
    <w:rsid w:val="3A582968"/>
    <w:rsid w:val="3A7D7406"/>
    <w:rsid w:val="3AC004AF"/>
    <w:rsid w:val="3ADC2D33"/>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2E1FAC"/>
    <w:rsid w:val="6033141C"/>
    <w:rsid w:val="603F6696"/>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042F"/>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186A79"/>
    <w:rsid w:val="6C437DE6"/>
    <w:rsid w:val="6C59328A"/>
    <w:rsid w:val="6C730F73"/>
    <w:rsid w:val="6CCD2C3B"/>
    <w:rsid w:val="6D4943D6"/>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053DAA"/>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5E263AB"/>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3">
    <w:name w:val="heading 1"/>
    <w:basedOn w:val="4"/>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5">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2">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8">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Title"/>
    <w:basedOn w:val="1"/>
    <w:qFormat/>
    <w:uiPriority w:val="0"/>
    <w:pPr>
      <w:spacing w:before="240" w:after="60"/>
      <w:jc w:val="center"/>
      <w:outlineLvl w:val="0"/>
    </w:pPr>
    <w:rPr>
      <w:rFonts w:ascii="Arial" w:hAnsi="Arial"/>
      <w:b/>
    </w:rPr>
  </w:style>
  <w:style w:type="paragraph" w:styleId="6">
    <w:name w:val="Normal Indent"/>
    <w:basedOn w:val="1"/>
    <w:qFormat/>
    <w:uiPriority w:val="0"/>
    <w:pPr>
      <w:ind w:firstLine="420" w:firstLineChars="0"/>
    </w:pPr>
    <w:rPr>
      <w:rFonts w:ascii="Calibri" w:hAnsi="Calibri" w:eastAsia="宋体" w:cs="Times New Roman"/>
      <w:sz w:val="21"/>
      <w:szCs w:val="20"/>
    </w:rPr>
  </w:style>
  <w:style w:type="paragraph" w:styleId="7">
    <w:name w:val="annotation text"/>
    <w:basedOn w:val="1"/>
    <w:link w:val="24"/>
    <w:qFormat/>
    <w:uiPriority w:val="0"/>
    <w:pPr>
      <w:jc w:val="left"/>
    </w:pPr>
  </w:style>
  <w:style w:type="paragraph" w:styleId="8">
    <w:name w:val="Body Text 3"/>
    <w:basedOn w:val="1"/>
    <w:qFormat/>
    <w:uiPriority w:val="0"/>
    <w:rPr>
      <w:rFonts w:ascii="仿宋_GB2312"/>
      <w:spacing w:val="-4"/>
      <w:sz w:val="16"/>
      <w:szCs w:val="16"/>
    </w:rPr>
  </w:style>
  <w:style w:type="paragraph" w:styleId="9">
    <w:name w:val="Body Text"/>
    <w:basedOn w:val="1"/>
    <w:qFormat/>
    <w:uiPriority w:val="0"/>
    <w:pPr>
      <w:spacing w:after="120"/>
    </w:pPr>
    <w:rPr>
      <w:rFonts w:ascii="Calibri" w:hAnsi="Calibri"/>
      <w:sz w:val="24"/>
    </w:rPr>
  </w:style>
  <w:style w:type="paragraph" w:styleId="10">
    <w:name w:val="Date"/>
    <w:basedOn w:val="1"/>
    <w:next w:val="1"/>
    <w:qFormat/>
    <w:uiPriority w:val="0"/>
    <w:pPr>
      <w:ind w:left="100" w:leftChars="2500"/>
    </w:pPr>
    <w:rPr>
      <w:sz w:val="28"/>
    </w:rPr>
  </w:style>
  <w:style w:type="paragraph" w:styleId="11">
    <w:name w:val="footer"/>
    <w:basedOn w:val="1"/>
    <w:link w:val="20"/>
    <w:qFormat/>
    <w:uiPriority w:val="0"/>
    <w:pPr>
      <w:tabs>
        <w:tab w:val="center" w:pos="4153"/>
        <w:tab w:val="right" w:pos="8306"/>
      </w:tabs>
      <w:snapToGrid w:val="0"/>
      <w:ind w:firstLine="0" w:firstLineChars="0"/>
      <w:jc w:val="left"/>
    </w:pPr>
    <w:rPr>
      <w:rFonts w:eastAsia="宋体"/>
      <w:sz w:val="2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annotation subject"/>
    <w:basedOn w:val="7"/>
    <w:next w:val="7"/>
    <w:link w:val="25"/>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
    <w:name w:val="Light Shading Accent 3"/>
    <w:basedOn w:val="15"/>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19">
    <w:name w:val="annotation reference"/>
    <w:basedOn w:val="18"/>
    <w:qFormat/>
    <w:uiPriority w:val="0"/>
    <w:rPr>
      <w:sz w:val="21"/>
      <w:szCs w:val="21"/>
    </w:rPr>
  </w:style>
  <w:style w:type="character" w:customStyle="1" w:styleId="20">
    <w:name w:val="页脚 字符"/>
    <w:basedOn w:val="18"/>
    <w:link w:val="11"/>
    <w:semiHidden/>
    <w:qFormat/>
    <w:uiPriority w:val="99"/>
    <w:rPr>
      <w:rFonts w:ascii="Times New Roman" w:hAnsi="Times New Roman" w:eastAsia="宋体"/>
      <w:sz w:val="28"/>
      <w:szCs w:val="18"/>
    </w:rPr>
  </w:style>
  <w:style w:type="paragraph" w:customStyle="1" w:styleId="21">
    <w:name w:val="List Paragraph1"/>
    <w:basedOn w:val="1"/>
    <w:qFormat/>
    <w:uiPriority w:val="0"/>
    <w:pPr>
      <w:ind w:firstLine="420"/>
    </w:pPr>
    <w:rPr>
      <w:rFonts w:ascii="Calibri" w:hAnsi="Calibri"/>
      <w:szCs w:val="22"/>
    </w:rPr>
  </w:style>
  <w:style w:type="paragraph" w:customStyle="1" w:styleId="22">
    <w:name w:val="列表段落1"/>
    <w:basedOn w:val="1"/>
    <w:unhideWhenUsed/>
    <w:qFormat/>
    <w:uiPriority w:val="99"/>
    <w:pPr>
      <w:ind w:firstLine="420"/>
    </w:pPr>
  </w:style>
  <w:style w:type="paragraph" w:styleId="23">
    <w:name w:val="List Paragraph"/>
    <w:basedOn w:val="1"/>
    <w:qFormat/>
    <w:uiPriority w:val="34"/>
    <w:pPr>
      <w:ind w:firstLine="420"/>
    </w:pPr>
  </w:style>
  <w:style w:type="character" w:customStyle="1" w:styleId="24">
    <w:name w:val="批注文字 字符"/>
    <w:basedOn w:val="18"/>
    <w:link w:val="7"/>
    <w:qFormat/>
    <w:uiPriority w:val="0"/>
    <w:rPr>
      <w:rFonts w:eastAsia="仿宋_GB2312" w:cstheme="minorBidi"/>
      <w:kern w:val="2"/>
      <w:sz w:val="32"/>
      <w:szCs w:val="24"/>
    </w:rPr>
  </w:style>
  <w:style w:type="character" w:customStyle="1" w:styleId="25">
    <w:name w:val="批注主题 字符"/>
    <w:basedOn w:val="24"/>
    <w:link w:val="14"/>
    <w:qFormat/>
    <w:uiPriority w:val="0"/>
    <w:rPr>
      <w:rFonts w:eastAsia="仿宋_GB2312" w:cstheme="minorBidi"/>
      <w:b/>
      <w:bCs/>
      <w:kern w:val="2"/>
      <w:sz w:val="32"/>
      <w:szCs w:val="24"/>
    </w:rPr>
  </w:style>
  <w:style w:type="paragraph" w:customStyle="1" w:styleId="26">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7">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3</Pages>
  <Words>255</Words>
  <Characters>266</Characters>
  <Lines>27</Lines>
  <Paragraphs>7</Paragraphs>
  <TotalTime>1</TotalTime>
  <ScaleCrop>false</ScaleCrop>
  <LinksUpToDate>false</LinksUpToDate>
  <CharactersWithSpaces>291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2025-07-25T03:16:44Z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8AC7E33B53A94E618615728559DC69A6_13</vt:lpwstr>
  </property>
  <property fmtid="{D5CDD505-2E9C-101B-9397-08002B2CF9AE}" pid="4" name="KSOTemplateDocerSaveRecord">
    <vt:lpwstr>eyJoZGlkIjoiNTQ1YTcwOTc1ZDUxNTcwOGNiZjNiNTdiY2QzOTc1YTgiLCJ1c2VySWQiOiI5NjYxMjMwNzMifQ==</vt:lpwstr>
  </property>
</Properties>
</file>