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4"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95</w:t>
      </w:r>
      <w:r>
        <w:rPr>
          <w:rFonts w:hint="eastAsia" w:ascii="黑体" w:hAnsi="黑体" w:eastAsia="黑体"/>
          <w:b/>
          <w:bCs/>
          <w:kern w:val="0"/>
          <w:szCs w:val="32"/>
        </w:rPr>
        <w:t>.</w:t>
      </w:r>
      <w:bookmarkEnd w:id="0"/>
      <w:r>
        <w:rPr>
          <w:rFonts w:hint="eastAsia" w:ascii="黑体" w:hAnsi="黑体" w:eastAsia="黑体"/>
          <w:b/>
          <w:bCs/>
          <w:kern w:val="0"/>
          <w:szCs w:val="32"/>
          <w:lang w:val="en-US" w:eastAsia="zh-CN"/>
        </w:rPr>
        <w:t>水催化裂解制氢技术研发</w:t>
      </w:r>
    </w:p>
    <w:bookmarkEnd w:id="4"/>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以太氢能源装备（西安）有限公司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新能源与节能</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248025D7">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利用特殊合成的金属催化剂耦合外电场在蒸汽氛围下催化裂解水制绿氢的技术，是一种结合了热催化、电化学驱动和蒸汽活化优势的创新方法。在100-150℃的低温蒸汽环境中，特殊设计的金属催化剂（如过渡金属合金、负载型纳米颗粒）通过表面活性位点降低水分子解离的能垒。外电场的引入进一步促进电荷分离，形成</w:t>
            </w:r>
            <w:r>
              <w:rPr>
                <w:rFonts w:hint="default" w:ascii="仿宋" w:hAnsi="仿宋" w:eastAsia="仿宋" w:cs="宋体"/>
                <w:sz w:val="28"/>
                <w:szCs w:val="28"/>
                <w:lang w:val="en-US" w:eastAsia="zh-CN"/>
              </w:rPr>
              <w:t>局域氧化还原微环境</w:t>
            </w:r>
            <w:r>
              <w:rPr>
                <w:rFonts w:hint="eastAsia" w:ascii="仿宋" w:hAnsi="仿宋" w:eastAsia="仿宋" w:cs="宋体"/>
                <w:sz w:val="28"/>
                <w:szCs w:val="28"/>
                <w:lang w:val="en-US" w:eastAsia="zh-CN"/>
              </w:rPr>
              <w:t>，从而通过电子转移可在低能耗场景下制取氢气。</w:t>
            </w:r>
          </w:p>
          <w:p w14:paraId="072331B0">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但是目前该技术还存在诸多问题，主要包括三个方面：</w:t>
            </w:r>
          </w:p>
          <w:p w14:paraId="65A6026B">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（1）催化剂：构建核壳结构（如Ni@SiO2）或单原子催化剂（Fe-N-C），隔离金属与蒸汽的直接接触，引入可逆氧化还原载体（如CeO2-ZrO2），通过氧空位动态补偿活性位损失。</w:t>
            </w:r>
            <w:r>
              <w:rPr>
                <w:rFonts w:hint="default" w:ascii="仿宋" w:hAnsi="仿宋" w:eastAsia="仿宋" w:cs="宋体"/>
                <w:sz w:val="28"/>
                <w:szCs w:val="28"/>
                <w:lang w:val="en-US" w:eastAsia="zh-CN"/>
              </w:rPr>
              <w:t>​</w:t>
            </w:r>
          </w:p>
          <w:p w14:paraId="2E2B0DBD">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（2）催化协同机制：采用多物理场建模，</w:t>
            </w:r>
            <w:r>
              <w:rPr>
                <w:rFonts w:hint="default" w:ascii="仿宋" w:hAnsi="仿宋" w:eastAsia="仿宋" w:cs="宋体"/>
                <w:sz w:val="28"/>
                <w:szCs w:val="28"/>
                <w:lang w:val="en-US" w:eastAsia="zh-CN"/>
              </w:rPr>
              <w:t>结合DFT计算和有限元模拟，优化电场频率/波形（如脉冲电场）与催化剂能带结构的匹配。</w:t>
            </w:r>
          </w:p>
          <w:p w14:paraId="56EA665B">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（3）反应器：</w:t>
            </w:r>
            <w:r>
              <w:rPr>
                <w:rFonts w:hint="default" w:ascii="仿宋" w:hAnsi="仿宋" w:eastAsia="仿宋" w:cs="宋体"/>
                <w:sz w:val="28"/>
                <w:szCs w:val="28"/>
                <w:lang w:val="en-US" w:eastAsia="zh-CN"/>
              </w:rPr>
              <w:t>采用3D打印蜂窝状通道</w:t>
            </w:r>
            <w:r>
              <w:rPr>
                <w:rFonts w:hint="eastAsia" w:ascii="仿宋" w:hAnsi="仿宋" w:eastAsia="仿宋" w:cs="宋体"/>
                <w:sz w:val="28"/>
                <w:szCs w:val="28"/>
                <w:lang w:val="en-US" w:eastAsia="zh-CN"/>
              </w:rPr>
              <w:t>微反应器</w:t>
            </w:r>
            <w:r>
              <w:rPr>
                <w:rFonts w:hint="default" w:ascii="仿宋" w:hAnsi="仿宋" w:eastAsia="仿宋" w:cs="宋体"/>
                <w:sz w:val="28"/>
                <w:szCs w:val="28"/>
                <w:lang w:val="en-US" w:eastAsia="zh-CN"/>
              </w:rPr>
              <w:t>，实现蒸汽的层流可控传输。</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5B68B110">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随着全球气候变化和双碳政策的推进，绿电制氢产业迎来了突破性发展，但传统制氢技术存在转化效率低、能耗指标高、制氢速率慢等局限性且氢气存在严重的储运难题，储运成本大，急待开发一种能耗指标低、制氢速率快的适用于分布式制氢场景的非含碳能源的制氢技术。主要的应用场景包括以下几个方面：</w:t>
            </w:r>
          </w:p>
          <w:p w14:paraId="72CB8ACD">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w:t>
            </w:r>
            <w:r>
              <w:rPr>
                <w:rFonts w:hint="default" w:ascii="仿宋" w:hAnsi="仿宋" w:eastAsia="仿宋" w:cs="宋体"/>
                <w:sz w:val="28"/>
                <w:szCs w:val="28"/>
                <w:lang w:val="en-US" w:eastAsia="zh-CN"/>
              </w:rPr>
              <w:t>可再生能源消纳：风电、光伏的间歇性需要高效储能载体，氢能是理想选择</w:t>
            </w:r>
            <w:r>
              <w:rPr>
                <w:rFonts w:hint="eastAsia" w:ascii="仿宋" w:hAnsi="仿宋" w:eastAsia="仿宋" w:cs="宋体"/>
                <w:sz w:val="28"/>
                <w:szCs w:val="28"/>
                <w:lang w:val="en-US" w:eastAsia="zh-CN"/>
              </w:rPr>
              <w:t>；</w:t>
            </w:r>
          </w:p>
          <w:p w14:paraId="05677DD6">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（2）</w:t>
            </w:r>
            <w:r>
              <w:rPr>
                <w:rFonts w:hint="default" w:ascii="仿宋" w:hAnsi="仿宋" w:eastAsia="仿宋" w:cs="宋体"/>
                <w:sz w:val="28"/>
                <w:szCs w:val="28"/>
                <w:lang w:val="en-US" w:eastAsia="zh-CN"/>
              </w:rPr>
              <w:t>工业脱碳：钢铁、化工、交通等领域需绿氢替代化石氢（如合成氨、炼钢）</w:t>
            </w:r>
            <w:r>
              <w:rPr>
                <w:rFonts w:hint="eastAsia" w:ascii="仿宋" w:hAnsi="仿宋" w:eastAsia="仿宋" w:cs="宋体"/>
                <w:sz w:val="28"/>
                <w:szCs w:val="28"/>
                <w:lang w:val="en-US" w:eastAsia="zh-CN"/>
              </w:rPr>
              <w:t>；</w:t>
            </w:r>
          </w:p>
          <w:p w14:paraId="25F62A99">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（3）交通领域：制氢加氢一体站项目；</w:t>
            </w:r>
          </w:p>
          <w:p w14:paraId="7154BD78">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b/>
                <w:bCs/>
                <w:sz w:val="28"/>
                <w:szCs w:val="28"/>
              </w:rPr>
            </w:pPr>
            <w:r>
              <w:rPr>
                <w:rFonts w:hint="eastAsia" w:ascii="仿宋" w:hAnsi="仿宋" w:eastAsia="仿宋" w:cs="宋体"/>
                <w:sz w:val="28"/>
                <w:szCs w:val="28"/>
                <w:lang w:val="en-US" w:eastAsia="zh-CN"/>
              </w:rPr>
              <w:t>（4）综合能源利用：与燃料电池联合实现电网调峰。</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4B52DEAB">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低温蒸汽环境（100-150℃）下，催化剂需同时满足</w:t>
            </w:r>
            <w:r>
              <w:rPr>
                <w:rFonts w:hint="default" w:ascii="仿宋" w:hAnsi="仿宋" w:eastAsia="仿宋" w:cs="宋体"/>
                <w:sz w:val="28"/>
                <w:szCs w:val="28"/>
                <w:lang w:val="en-US" w:eastAsia="zh-CN"/>
              </w:rPr>
              <w:t>高活性（促进水裂解）和抗蒸汽氧化/烧结（长期稳定性）的双重要求，但两者往往存在矛盾</w:t>
            </w:r>
            <w:r>
              <w:rPr>
                <w:rFonts w:hint="eastAsia" w:ascii="仿宋" w:hAnsi="仿宋" w:eastAsia="仿宋" w:cs="宋体"/>
                <w:sz w:val="28"/>
                <w:szCs w:val="28"/>
                <w:lang w:val="en-US" w:eastAsia="zh-CN"/>
              </w:rPr>
              <w:t>，主要的技术难点是：</w:t>
            </w:r>
          </w:p>
          <w:p w14:paraId="73C8B6AB">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w:t>
            </w:r>
            <w:r>
              <w:rPr>
                <w:rFonts w:hint="default" w:ascii="仿宋" w:hAnsi="仿宋" w:eastAsia="仿宋" w:cs="宋体"/>
                <w:sz w:val="28"/>
                <w:szCs w:val="28"/>
                <w:lang w:val="en-US" w:eastAsia="zh-CN"/>
              </w:rPr>
              <w:t>金属活性位点失活：</w:t>
            </w:r>
            <w:r>
              <w:rPr>
                <w:rFonts w:hint="eastAsia" w:ascii="仿宋" w:hAnsi="仿宋" w:eastAsia="仿宋" w:cs="宋体"/>
                <w:sz w:val="28"/>
                <w:szCs w:val="28"/>
                <w:lang w:val="en-US" w:eastAsia="zh-CN"/>
              </w:rPr>
              <w:t>蒸汽中的OH-或O2可能导致过渡金属（如Ni、Co）氧化成惰性氧化物；</w:t>
            </w:r>
          </w:p>
          <w:p w14:paraId="0238D0D8">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（2）载体结构坍塌</w:t>
            </w:r>
            <w:r>
              <w:rPr>
                <w:rFonts w:hint="default" w:ascii="仿宋" w:hAnsi="仿宋" w:eastAsia="仿宋" w:cs="宋体"/>
                <w:sz w:val="28"/>
                <w:szCs w:val="28"/>
                <w:lang w:val="en-US" w:eastAsia="zh-CN"/>
              </w:rPr>
              <w:t>：</w:t>
            </w:r>
            <w:r>
              <w:rPr>
                <w:rFonts w:hint="eastAsia" w:ascii="仿宋" w:hAnsi="仿宋" w:eastAsia="仿宋" w:cs="宋体"/>
                <w:sz w:val="28"/>
                <w:szCs w:val="28"/>
                <w:lang w:val="en-US" w:eastAsia="zh-CN"/>
              </w:rPr>
              <w:t>多孔载体（如Al₂O₃）在湿热环境中易发生相变或孔道堵塞；</w:t>
            </w:r>
          </w:p>
          <w:p w14:paraId="05D68878">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w:t>
            </w:r>
            <w:r>
              <w:rPr>
                <w:rFonts w:hint="default" w:ascii="仿宋" w:hAnsi="仿宋" w:eastAsia="仿宋" w:cs="宋体"/>
                <w:sz w:val="28"/>
                <w:szCs w:val="28"/>
                <w:lang w:val="en-US" w:eastAsia="zh-CN"/>
              </w:rPr>
              <w:t>界面极化效应：蒸汽-催化剂-电场三相界面处电荷聚集可能导致局部过热或副反应（如金属溶解）</w:t>
            </w:r>
            <w:r>
              <w:rPr>
                <w:rFonts w:hint="eastAsia" w:ascii="仿宋" w:hAnsi="仿宋" w:eastAsia="仿宋" w:cs="宋体"/>
                <w:sz w:val="28"/>
                <w:szCs w:val="28"/>
                <w:lang w:val="en-US" w:eastAsia="zh-CN"/>
              </w:rPr>
              <w:t>；</w:t>
            </w:r>
          </w:p>
          <w:p w14:paraId="7DE2CFA7">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b/>
                <w:bCs/>
                <w:sz w:val="28"/>
                <w:szCs w:val="28"/>
              </w:rPr>
            </w:pPr>
            <w:r>
              <w:rPr>
                <w:rFonts w:hint="eastAsia" w:ascii="仿宋" w:hAnsi="仿宋" w:eastAsia="仿宋" w:cs="宋体"/>
                <w:sz w:val="28"/>
                <w:szCs w:val="28"/>
                <w:lang w:val="en-US" w:eastAsia="zh-CN"/>
              </w:rPr>
              <w:t>（4）</w:t>
            </w:r>
            <w:r>
              <w:rPr>
                <w:rFonts w:hint="default" w:ascii="仿宋" w:hAnsi="仿宋" w:eastAsia="仿宋" w:cs="宋体"/>
                <w:sz w:val="28"/>
                <w:szCs w:val="28"/>
                <w:lang w:val="en-US" w:eastAsia="zh-CN"/>
              </w:rPr>
              <w:t>电场均匀性：多孔催化剂床层中电场分布不均，导致反应区域化（边缘效应）。</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7452EE08">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①原料：水蒸气或水</w:t>
            </w:r>
          </w:p>
          <w:p w14:paraId="62C20851">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②反应温度：100-150℃</w:t>
            </w:r>
          </w:p>
          <w:p w14:paraId="406F73B2">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③电耗指标：</w:t>
            </w:r>
            <w:bookmarkStart w:id="3" w:name="_Hlk187475512"/>
            <w:r>
              <w:rPr>
                <w:rFonts w:hint="eastAsia" w:ascii="仿宋" w:hAnsi="仿宋" w:eastAsia="仿宋" w:cs="宋体"/>
                <w:sz w:val="28"/>
                <w:szCs w:val="28"/>
                <w:lang w:val="en-US" w:eastAsia="zh-CN"/>
              </w:rPr>
              <w:t>≦30KWh/KgH2</w:t>
            </w:r>
          </w:p>
          <w:bookmarkEnd w:id="3"/>
          <w:p w14:paraId="7B791E5F">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④催化剂消耗：0.1Kg/KgH2</w:t>
            </w:r>
          </w:p>
          <w:p w14:paraId="08B2D662">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⑤氢气纯度：≥99.999%（提纯后）</w:t>
            </w:r>
          </w:p>
          <w:p w14:paraId="339834ED">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⑥排放标准：绿色环保，无二氧化碳排放</w:t>
            </w:r>
          </w:p>
          <w:p w14:paraId="23565B58">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⑦安全：无爆炸风险</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17166FAE">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搭建一套水分解制氢示范装置并进行中试验证，计划验证周期为9个月。</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公司前期对超临界水的研发取得了初步阶段性成果，重点研究了超临界电解水与常规电解水技术的差异，最大限度上克服了常规电解水存在的弊端，在水制氢的反应器和催化剂方面取得了较为突出的科研成就，通过技术转让引进了四项发明专利和九项实用新型专利，并组建了技术研发团队。</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5368C438">
            <w:pPr>
              <w:spacing w:line="360" w:lineRule="exact"/>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公司在氢能领域目前主要技术在制氢领域，在超临界水制氢领域已经取得较为显著的成就并申报了陕西省科技厅两链融合项目，目前该技术已经开发验证完成。下一步将重点开发拓展水催化裂解制氢的技术研发，进一步降低制氢成本。</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7C6C706B">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公司正在对技术团队进行提炼和培养，计划通过该项目培养技术带头人1人，工艺技术人员2人，设备工程师2人，自控工程师1人，形成一支专业化科研团队。</w:t>
            </w:r>
          </w:p>
          <w:p w14:paraId="448C6A5D">
            <w:pPr>
              <w:pStyle w:val="23"/>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计划投资468万元研发本项水制氢系统并搭建一套示范装置。</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67D253D1">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公司现有气体检测仪表、氢气泄露检测分析仪表、蒸汽发生器等相关仪器仪表。</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pStyle w:val="2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公司在泾河新城氢合湾建有生产实验基地，场地位于泾河新城氢合湾22号厂房。</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45E49CCD">
            <w:pPr>
              <w:spacing w:line="360" w:lineRule="exact"/>
              <w:rPr>
                <w:rFonts w:hint="eastAsia"/>
                <w:sz w:val="24"/>
              </w:rPr>
            </w:pPr>
            <w:r>
              <w:rPr>
                <w:rFonts w:hint="eastAsia" w:ascii="仿宋" w:hAnsi="仿宋" w:eastAsia="仿宋" w:cs="宋体"/>
                <w:kern w:val="2"/>
                <w:sz w:val="28"/>
                <w:szCs w:val="28"/>
                <w:lang w:val="en-US" w:eastAsia="zh-CN" w:bidi="ar-SA"/>
              </w:rPr>
              <w:t>希望与省内工科强校、科研院所和科技企业开展技术合作，尤其是在制氢领域有重点业绩的单位。</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790AED"/>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 w:type="paragraph" w:customStyle="1" w:styleId="28">
    <w:name w:val="正文缩进1"/>
    <w:qFormat/>
    <w:uiPriority w:val="0"/>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2</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2025-07-24T09:40:40Z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612976AC814D4BD5BAA9BAEFC88D5251_13</vt:lpwstr>
  </property>
  <property fmtid="{D5CDD505-2E9C-101B-9397-08002B2CF9AE}" pid="4" name="KSOTemplateDocerSaveRecord">
    <vt:lpwstr>eyJoZGlkIjoiNTQ1YTcwOTc1ZDUxNTcwOGNiZjNiNTdiY2QzOTc1YTgiLCJ1c2VySWQiOiI5NjYxMjMwNzMifQ==</vt:lpwstr>
  </property>
</Properties>
</file>