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AE15F">
      <w:pPr>
        <w:adjustRightInd w:val="0"/>
        <w:snapToGrid w:val="0"/>
        <w:spacing w:line="580" w:lineRule="exact"/>
        <w:jc w:val="left"/>
        <w:rPr>
          <w:rFonts w:hint="eastAsia" w:ascii="Times New Roman" w:hAnsi="Times New Roman" w:eastAsia="方正小标宋简体"/>
          <w:sz w:val="44"/>
          <w:szCs w:val="44"/>
        </w:rPr>
      </w:pPr>
      <w:bookmarkStart w:id="0" w:name="_GoBack"/>
      <w:r>
        <w:rPr>
          <w:rFonts w:hint="eastAsia" w:ascii="黑体" w:hAnsi="黑体" w:eastAsia="黑体" w:cs="黑体"/>
          <w:sz w:val="32"/>
          <w:szCs w:val="32"/>
          <w:lang w:val="en-US" w:eastAsia="zh-CN"/>
        </w:rPr>
        <w:t>附件4</w:t>
      </w:r>
    </w:p>
    <w:p w14:paraId="776B3DBB">
      <w:pPr>
        <w:keepNext w:val="0"/>
        <w:keepLines w:val="0"/>
        <w:pageBreakBefore w:val="0"/>
        <w:kinsoku/>
        <w:wordWrap/>
        <w:topLinePunct w:val="0"/>
        <w:autoSpaceDE/>
        <w:autoSpaceDN/>
        <w:bidi w:val="0"/>
        <w:spacing w:after="0" w:line="576" w:lineRule="exact"/>
        <w:ind w:firstLine="88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方正小标宋简体"/>
          <w:sz w:val="44"/>
          <w:szCs w:val="44"/>
          <w:lang w:eastAsia="zh-CN"/>
        </w:rPr>
        <w:t>青海省</w:t>
      </w:r>
      <w:r>
        <w:rPr>
          <w:rFonts w:hint="eastAsia" w:ascii="Times New Roman" w:hAnsi="Times New Roman" w:eastAsia="方正小标宋简体"/>
          <w:sz w:val="44"/>
          <w:szCs w:val="44"/>
          <w:lang w:val="en-US" w:eastAsia="zh-CN"/>
        </w:rPr>
        <w:t>电源侧</w:t>
      </w:r>
      <w:r>
        <w:rPr>
          <w:rFonts w:hint="eastAsia" w:ascii="Times New Roman" w:hAnsi="Times New Roman" w:eastAsia="方正小标宋简体"/>
          <w:sz w:val="44"/>
          <w:szCs w:val="44"/>
          <w:lang w:eastAsia="zh-CN"/>
        </w:rPr>
        <w:t>容量补偿机制</w:t>
      </w:r>
      <w:r>
        <w:rPr>
          <w:rFonts w:hint="eastAsia" w:ascii="Times New Roman" w:hAnsi="Times New Roman" w:eastAsia="方正小标宋简体"/>
          <w:sz w:val="44"/>
          <w:szCs w:val="44"/>
          <w:lang w:val="en-US" w:eastAsia="zh-CN"/>
        </w:rPr>
        <w:t>暂行办法</w:t>
      </w:r>
    </w:p>
    <w:bookmarkEnd w:id="0"/>
    <w:p w14:paraId="3A8E7EE4">
      <w:pPr>
        <w:keepNext w:val="0"/>
        <w:keepLines w:val="0"/>
        <w:pageBreakBefore w:val="0"/>
        <w:kinsoku/>
        <w:wordWrap/>
        <w:topLinePunct w:val="0"/>
        <w:autoSpaceDE/>
        <w:autoSpaceDN/>
        <w:bidi w:val="0"/>
        <w:spacing w:after="0" w:line="576" w:lineRule="exact"/>
        <w:ind w:firstLine="640" w:firstLineChars="200"/>
        <w:jc w:val="both"/>
        <w:textAlignment w:val="auto"/>
        <w:rPr>
          <w:rFonts w:hint="eastAsia" w:ascii="仿宋_GB2312" w:hAnsi="仿宋_GB2312" w:eastAsia="仿宋_GB2312" w:cs="仿宋_GB2312"/>
          <w:sz w:val="32"/>
          <w:szCs w:val="32"/>
        </w:rPr>
      </w:pPr>
    </w:p>
    <w:p w14:paraId="57B0FF9A">
      <w:pPr>
        <w:keepNext w:val="0"/>
        <w:keepLines w:val="0"/>
        <w:pageBreakBefore w:val="0"/>
        <w:kinsoku/>
        <w:wordWrap/>
        <w:topLinePunct w:val="0"/>
        <w:autoSpaceDE/>
        <w:autoSpaceDN/>
        <w:bidi w:val="0"/>
        <w:spacing w:after="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为贯彻落实党中央、国务院关于加快构建新型电力系统的决策部署，保障电力安全稳定运行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有力支撑全</w:t>
      </w:r>
      <w:r>
        <w:rPr>
          <w:rFonts w:hint="eastAsia" w:ascii="仿宋_GB2312" w:hAnsi="仿宋_GB2312" w:eastAsia="仿宋_GB2312" w:cs="仿宋_GB2312"/>
          <w:sz w:val="32"/>
          <w:szCs w:val="32"/>
        </w:rPr>
        <w:t>省新能源上网电价市场化改革，按照国家发展改革委《关于进一步深化燃煤发电上网电价市场化改革的通知》（发改价格〔2021〕1439号）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国家发展改革委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国家能源局《关于建立煤电容量补偿机制的通知》（发改价格〔2023〕1501号）等文件要求，结合</w:t>
      </w:r>
      <w:r>
        <w:rPr>
          <w:rFonts w:hint="eastAsia" w:ascii="仿宋_GB2312" w:hAnsi="仿宋_GB2312" w:eastAsia="仿宋_GB2312" w:cs="仿宋_GB2312"/>
          <w:sz w:val="32"/>
          <w:szCs w:val="32"/>
          <w:lang w:val="en-US" w:eastAsia="zh-CN"/>
        </w:rPr>
        <w:t>省情实际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制定本办法</w:t>
      </w:r>
      <w:r>
        <w:rPr>
          <w:rFonts w:hint="eastAsia" w:ascii="仿宋_GB2312" w:hAnsi="仿宋_GB2312" w:eastAsia="仿宋_GB2312" w:cs="仿宋_GB2312"/>
          <w:sz w:val="32"/>
          <w:szCs w:val="32"/>
        </w:rPr>
        <w:t>。</w:t>
      </w:r>
    </w:p>
    <w:p w14:paraId="43087D63">
      <w:pPr>
        <w:keepNext w:val="0"/>
        <w:keepLines w:val="0"/>
        <w:pageBreakBefore w:val="0"/>
        <w:kinsoku/>
        <w:wordWrap/>
        <w:topLinePunct w:val="0"/>
        <w:autoSpaceDE/>
        <w:autoSpaceDN/>
        <w:bidi w:val="0"/>
        <w:spacing w:after="0" w:line="576" w:lineRule="exact"/>
        <w:ind w:firstLine="640" w:firstLineChars="200"/>
        <w:jc w:val="both"/>
        <w:textAlignment w:val="auto"/>
        <w:outlineLvl w:val="0"/>
        <w:rPr>
          <w:rFonts w:hint="eastAsia" w:ascii="Times New Roman" w:hAnsi="Times New Roman" w:eastAsia="黑体"/>
          <w:sz w:val="32"/>
          <w:szCs w:val="32"/>
          <w:lang w:eastAsia="zh-CN"/>
        </w:rPr>
      </w:pPr>
      <w:r>
        <w:rPr>
          <w:rFonts w:ascii="Times New Roman" w:hAnsi="Times New Roman" w:eastAsia="黑体"/>
          <w:sz w:val="32"/>
          <w:szCs w:val="32"/>
        </w:rPr>
        <w:t>一、总体</w:t>
      </w:r>
      <w:r>
        <w:rPr>
          <w:rFonts w:hint="eastAsia" w:ascii="Times New Roman" w:hAnsi="Times New Roman" w:eastAsia="黑体"/>
          <w:sz w:val="32"/>
          <w:szCs w:val="32"/>
          <w:lang w:val="en-US" w:eastAsia="zh-CN"/>
        </w:rPr>
        <w:t>考虑</w:t>
      </w:r>
    </w:p>
    <w:p w14:paraId="04C773F8">
      <w:pPr>
        <w:keepNext w:val="0"/>
        <w:keepLines w:val="0"/>
        <w:pageBreakBefore w:val="0"/>
        <w:kinsoku/>
        <w:wordWrap/>
        <w:topLinePunct w:val="0"/>
        <w:autoSpaceDE/>
        <w:autoSpaceDN/>
        <w:bidi w:val="0"/>
        <w:spacing w:after="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坚持市场化改革方向，加快推进电力市场体系建设，建立</w:t>
      </w:r>
      <w:r>
        <w:rPr>
          <w:rFonts w:hint="eastAsia" w:ascii="仿宋_GB2312" w:hAnsi="仿宋_GB2312" w:eastAsia="仿宋_GB2312" w:cs="仿宋_GB2312"/>
          <w:sz w:val="32"/>
          <w:szCs w:val="32"/>
          <w:lang w:val="en-US" w:eastAsia="zh-CN"/>
        </w:rPr>
        <w:t>电源侧</w:t>
      </w:r>
      <w:r>
        <w:rPr>
          <w:rFonts w:hint="eastAsia" w:ascii="仿宋_GB2312" w:hAnsi="仿宋_GB2312" w:eastAsia="仿宋_GB2312" w:cs="仿宋_GB2312"/>
          <w:sz w:val="32"/>
          <w:szCs w:val="32"/>
        </w:rPr>
        <w:t>容量补偿机制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合理补偿各类电源固定成本，引导各类电源在电力现货市场合理申报价格，维护电力市场价格秩序，</w:t>
      </w:r>
      <w:r>
        <w:rPr>
          <w:rFonts w:hint="eastAsia" w:ascii="仿宋_GB2312" w:hAnsi="仿宋_GB2312" w:eastAsia="仿宋_GB2312" w:cs="仿宋_GB2312"/>
          <w:sz w:val="32"/>
          <w:szCs w:val="32"/>
        </w:rPr>
        <w:t>逐步构建有效反映各类电源电量价值和容量价值的电价机制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着力夯实基荷</w:t>
      </w:r>
      <w:r>
        <w:rPr>
          <w:rFonts w:hint="eastAsia" w:ascii="仿宋_GB2312" w:hAnsi="仿宋_GB2312" w:eastAsia="仿宋_GB2312" w:cs="仿宋_GB2312"/>
          <w:sz w:val="32"/>
          <w:szCs w:val="32"/>
        </w:rPr>
        <w:t>电源</w:t>
      </w:r>
      <w:r>
        <w:rPr>
          <w:rFonts w:ascii="仿宋_GB2312" w:hAnsi="仿宋_GB2312" w:eastAsia="仿宋_GB2312" w:cs="仿宋_GB2312"/>
          <w:sz w:val="32"/>
          <w:szCs w:val="32"/>
        </w:rPr>
        <w:t>保障基础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充分发挥可调节性电源支撑作用</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保障电力系统安全高效运行</w:t>
      </w:r>
      <w:r>
        <w:rPr>
          <w:rFonts w:hint="eastAsia" w:ascii="仿宋_GB2312" w:hAnsi="仿宋_GB2312" w:eastAsia="仿宋_GB2312" w:cs="仿宋_GB2312"/>
          <w:sz w:val="32"/>
          <w:szCs w:val="32"/>
        </w:rPr>
        <w:t>。</w:t>
      </w:r>
    </w:p>
    <w:p w14:paraId="25AEB318">
      <w:pPr>
        <w:keepNext w:val="0"/>
        <w:keepLines w:val="0"/>
        <w:pageBreakBefore w:val="0"/>
        <w:kinsoku/>
        <w:wordWrap/>
        <w:topLinePunct w:val="0"/>
        <w:autoSpaceDE/>
        <w:autoSpaceDN/>
        <w:bidi w:val="0"/>
        <w:spacing w:after="0" w:line="576" w:lineRule="exact"/>
        <w:ind w:firstLine="640" w:firstLineChars="200"/>
        <w:jc w:val="both"/>
        <w:textAlignment w:val="auto"/>
        <w:outlineLvl w:val="0"/>
        <w:rPr>
          <w:rFonts w:ascii="Times New Roman" w:hAnsi="Times New Roman" w:eastAsia="黑体"/>
          <w:sz w:val="32"/>
          <w:szCs w:val="32"/>
        </w:rPr>
      </w:pPr>
      <w:r>
        <w:rPr>
          <w:rFonts w:hint="eastAsia" w:ascii="Times New Roman" w:hAnsi="Times New Roman" w:eastAsia="黑体"/>
          <w:sz w:val="32"/>
          <w:szCs w:val="32"/>
        </w:rPr>
        <w:t>二、实施范围</w:t>
      </w:r>
    </w:p>
    <w:p w14:paraId="366DB47C">
      <w:pPr>
        <w:pStyle w:val="2"/>
        <w:keepNext w:val="0"/>
        <w:keepLines w:val="0"/>
        <w:pageBreakBefore w:val="0"/>
        <w:kinsoku/>
        <w:wordWrap/>
        <w:overflowPunct w:val="0"/>
        <w:topLinePunct w:val="0"/>
        <w:autoSpaceDE/>
        <w:autoSpaceDN/>
        <w:bidi w:val="0"/>
        <w:adjustRightInd w:val="0"/>
        <w:snapToGrid w:val="0"/>
        <w:spacing w:after="0" w:line="576" w:lineRule="exact"/>
        <w:ind w:firstLine="64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健全完善合规在运的公用</w:t>
      </w:r>
      <w:r>
        <w:rPr>
          <w:rFonts w:hint="eastAsia" w:ascii="仿宋_GB2312" w:hAnsi="仿宋_GB2312" w:eastAsia="仿宋_GB2312" w:cs="仿宋_GB2312"/>
          <w:sz w:val="32"/>
          <w:szCs w:val="32"/>
        </w:rPr>
        <w:t>火电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燃煤、燃气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机组</w:t>
      </w:r>
      <w:r>
        <w:rPr>
          <w:rFonts w:hint="eastAsia" w:ascii="仿宋_GB2312" w:hAnsi="仿宋_GB2312" w:eastAsia="仿宋_GB2312" w:cs="仿宋_GB2312"/>
          <w:sz w:val="32"/>
          <w:szCs w:val="32"/>
          <w:lang w:val="en-US" w:eastAsia="zh-CN"/>
        </w:rPr>
        <w:t>容量补偿机制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统筹考虑</w:t>
      </w:r>
      <w:r>
        <w:rPr>
          <w:rFonts w:hint="eastAsia" w:ascii="仿宋_GB2312" w:hAnsi="仿宋_GB2312" w:eastAsia="仿宋_GB2312" w:cs="仿宋_GB2312"/>
          <w:sz w:val="32"/>
          <w:szCs w:val="32"/>
        </w:rPr>
        <w:t>电力系统建设时序、</w:t>
      </w:r>
      <w:r>
        <w:rPr>
          <w:rFonts w:hint="eastAsia" w:ascii="仿宋_GB2312" w:hAnsi="仿宋_GB2312" w:eastAsia="仿宋_GB2312" w:cs="仿宋_GB2312"/>
          <w:sz w:val="32"/>
          <w:szCs w:val="32"/>
          <w:lang w:val="en-US" w:eastAsia="zh-CN"/>
        </w:rPr>
        <w:t>容量</w:t>
      </w:r>
      <w:r>
        <w:rPr>
          <w:rFonts w:hint="eastAsia" w:ascii="仿宋_GB2312" w:hAnsi="仿宋_GB2312" w:eastAsia="仿宋_GB2312" w:cs="仿宋_GB2312"/>
          <w:sz w:val="32"/>
          <w:szCs w:val="32"/>
        </w:rPr>
        <w:t>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工商业用户承受能力</w:t>
      </w:r>
      <w:r>
        <w:rPr>
          <w:rFonts w:hint="eastAsia" w:ascii="仿宋_GB2312" w:hAnsi="仿宋_GB2312" w:eastAsia="仿宋_GB2312" w:cs="仿宋_GB2312"/>
          <w:sz w:val="32"/>
          <w:szCs w:val="32"/>
        </w:rPr>
        <w:t>等因素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适时有序建立</w:t>
      </w:r>
      <w:r>
        <w:rPr>
          <w:rFonts w:hint="eastAsia" w:ascii="仿宋_GB2312" w:hAnsi="仿宋_GB2312" w:eastAsia="仿宋_GB2312" w:cs="仿宋_GB2312"/>
          <w:sz w:val="32"/>
          <w:szCs w:val="32"/>
        </w:rPr>
        <w:t>独立新型储能、抽水蓄能、光热发电、水电等市场化发电机组</w:t>
      </w:r>
      <w:r>
        <w:rPr>
          <w:rFonts w:hint="eastAsia" w:ascii="仿宋_GB2312" w:hAnsi="仿宋_GB2312" w:eastAsia="仿宋_GB2312" w:cs="仿宋_GB2312"/>
          <w:sz w:val="32"/>
          <w:szCs w:val="32"/>
          <w:lang w:val="en-US" w:eastAsia="zh-CN"/>
        </w:rPr>
        <w:t>容量补偿机制。</w:t>
      </w:r>
      <w:r>
        <w:rPr>
          <w:rFonts w:hint="eastAsia" w:ascii="仿宋_GB2312" w:hAnsi="仿宋_GB2312" w:eastAsia="仿宋_GB2312" w:cs="仿宋_GB2312"/>
          <w:sz w:val="32"/>
          <w:szCs w:val="32"/>
        </w:rPr>
        <w:t>直流</w:t>
      </w:r>
      <w:r>
        <w:rPr>
          <w:rFonts w:ascii="仿宋_GB2312" w:hAnsi="仿宋_GB2312" w:eastAsia="仿宋_GB2312" w:cs="仿宋_GB2312"/>
          <w:sz w:val="32"/>
          <w:szCs w:val="32"/>
        </w:rPr>
        <w:t>配套电源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不含新能源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外送</w:t>
      </w:r>
      <w:r>
        <w:rPr>
          <w:rFonts w:ascii="仿宋_GB2312" w:hAnsi="仿宋_GB2312" w:eastAsia="仿宋_GB2312" w:cs="仿宋_GB2312"/>
          <w:sz w:val="32"/>
          <w:szCs w:val="32"/>
        </w:rPr>
        <w:t>容量</w:t>
      </w:r>
      <w:r>
        <w:rPr>
          <w:rFonts w:hint="eastAsia" w:ascii="仿宋_GB2312" w:hAnsi="仿宋_GB2312" w:eastAsia="仿宋_GB2312" w:cs="仿宋_GB2312"/>
          <w:sz w:val="32"/>
          <w:szCs w:val="32"/>
        </w:rPr>
        <w:t>不纳入我省发电侧容量补偿机制。非市场化电源容量补偿标准由</w:t>
      </w:r>
      <w:r>
        <w:rPr>
          <w:rFonts w:hint="eastAsia" w:ascii="仿宋_GB2312" w:hAnsi="仿宋_GB2312" w:eastAsia="仿宋_GB2312" w:cs="仿宋_GB2312"/>
          <w:sz w:val="32"/>
          <w:szCs w:val="32"/>
          <w:lang w:eastAsia="zh-CN"/>
        </w:rPr>
        <w:t>省发展改革委</w:t>
      </w:r>
      <w:r>
        <w:rPr>
          <w:rFonts w:hint="eastAsia" w:ascii="仿宋_GB2312" w:hAnsi="仿宋_GB2312" w:eastAsia="仿宋_GB2312" w:cs="仿宋_GB2312"/>
          <w:sz w:val="32"/>
          <w:szCs w:val="32"/>
        </w:rPr>
        <w:t>单独核定。</w:t>
      </w:r>
    </w:p>
    <w:p w14:paraId="178FA49B">
      <w:pPr>
        <w:pStyle w:val="2"/>
        <w:keepNext w:val="0"/>
        <w:keepLines w:val="0"/>
        <w:pageBreakBefore w:val="0"/>
        <w:kinsoku/>
        <w:wordWrap/>
        <w:topLinePunct w:val="0"/>
        <w:autoSpaceDE/>
        <w:autoSpaceDN/>
        <w:bidi w:val="0"/>
        <w:spacing w:after="0" w:line="576" w:lineRule="exact"/>
        <w:ind w:firstLine="640"/>
        <w:jc w:val="both"/>
        <w:textAlignment w:val="auto"/>
        <w:outlineLvl w:val="1"/>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容量需求</w:t>
      </w:r>
      <w:r>
        <w:rPr>
          <w:rFonts w:hint="eastAsia" w:ascii="Times New Roman" w:hAnsi="Times New Roman" w:eastAsia="黑体"/>
          <w:sz w:val="32"/>
          <w:szCs w:val="32"/>
        </w:rPr>
        <w:t>和有效容量评估</w:t>
      </w:r>
    </w:p>
    <w:p w14:paraId="683F81F6">
      <w:pPr>
        <w:pStyle w:val="2"/>
        <w:keepNext w:val="0"/>
        <w:keepLines w:val="0"/>
        <w:pageBreakBefore w:val="0"/>
        <w:kinsoku/>
        <w:wordWrap/>
        <w:topLinePunct w:val="0"/>
        <w:autoSpaceDE/>
        <w:autoSpaceDN/>
        <w:bidi w:val="0"/>
        <w:spacing w:after="0" w:line="576" w:lineRule="exact"/>
        <w:ind w:firstLine="640"/>
        <w:jc w:val="both"/>
        <w:textAlignment w:val="auto"/>
        <w:outlineLvl w:val="1"/>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（一）容量需求。</w:t>
      </w:r>
      <w:r>
        <w:rPr>
          <w:rFonts w:hint="eastAsia" w:ascii="仿宋_GB2312" w:hAnsi="仿宋_GB2312" w:eastAsia="仿宋_GB2312" w:cs="仿宋_GB2312"/>
          <w:sz w:val="32"/>
          <w:szCs w:val="32"/>
          <w:lang w:val="en-US" w:eastAsia="zh-CN"/>
        </w:rPr>
        <w:t>参考往年及</w:t>
      </w:r>
      <w:r>
        <w:rPr>
          <w:rFonts w:ascii="仿宋_GB2312" w:hAnsi="仿宋_GB2312" w:eastAsia="仿宋_GB2312" w:cs="仿宋_GB2312"/>
          <w:sz w:val="32"/>
          <w:szCs w:val="32"/>
        </w:rPr>
        <w:t>当年</w:t>
      </w:r>
      <w:r>
        <w:rPr>
          <w:rFonts w:hint="eastAsia" w:ascii="仿宋_GB2312" w:hAnsi="仿宋_GB2312" w:eastAsia="仿宋_GB2312" w:cs="仿宋_GB2312"/>
          <w:sz w:val="32"/>
          <w:szCs w:val="32"/>
          <w:lang w:val="en-US" w:eastAsia="zh-CN"/>
        </w:rPr>
        <w:t>历史</w:t>
      </w:r>
      <w:r>
        <w:rPr>
          <w:rFonts w:ascii="仿宋_GB2312" w:hAnsi="仿宋_GB2312" w:eastAsia="仿宋_GB2312" w:cs="仿宋_GB2312"/>
          <w:sz w:val="32"/>
          <w:szCs w:val="32"/>
        </w:rPr>
        <w:t>系统净负荷曲线（省内用电负荷</w:t>
      </w:r>
      <w:r>
        <w:rPr>
          <w:rFonts w:hint="eastAsia" w:ascii="仿宋_GB2312" w:hAnsi="仿宋_GB2312" w:eastAsia="仿宋_GB2312" w:cs="仿宋_GB2312"/>
          <w:sz w:val="32"/>
          <w:szCs w:val="32"/>
        </w:rPr>
        <w:t>+备用容量+</w:t>
      </w:r>
      <w:r>
        <w:rPr>
          <w:rFonts w:ascii="仿宋_GB2312" w:hAnsi="仿宋_GB2312" w:eastAsia="仿宋_GB2312" w:cs="仿宋_GB2312"/>
          <w:sz w:val="32"/>
          <w:szCs w:val="32"/>
        </w:rPr>
        <w:t>外送</w:t>
      </w:r>
      <w:r>
        <w:rPr>
          <w:rFonts w:hint="eastAsia" w:ascii="仿宋_GB2312" w:hAnsi="仿宋_GB2312" w:eastAsia="仿宋_GB2312" w:cs="仿宋_GB2312"/>
          <w:sz w:val="32"/>
          <w:szCs w:val="32"/>
        </w:rPr>
        <w:t>电功率-新能源出力-外购电功率-不可调节水电出力，</w:t>
      </w:r>
      <w:r>
        <w:rPr>
          <w:rFonts w:ascii="仿宋_GB2312" w:hAnsi="仿宋_GB2312" w:eastAsia="仿宋_GB2312" w:cs="仿宋_GB2312"/>
          <w:sz w:val="32"/>
          <w:szCs w:val="32"/>
        </w:rPr>
        <w:t>下同）</w:t>
      </w:r>
      <w:r>
        <w:rPr>
          <w:rFonts w:hint="eastAsia" w:ascii="仿宋_GB2312" w:hAnsi="仿宋_GB2312" w:eastAsia="仿宋_GB2312" w:cs="仿宋_GB2312"/>
          <w:sz w:val="32"/>
          <w:szCs w:val="32"/>
          <w:lang w:val="en-US" w:eastAsia="zh-CN"/>
        </w:rPr>
        <w:t>峰值</w:t>
      </w:r>
      <w:r>
        <w:rPr>
          <w:rFonts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点</w:t>
      </w:r>
      <w:r>
        <w:rPr>
          <w:rFonts w:ascii="仿宋_GB2312" w:hAnsi="仿宋_GB2312" w:eastAsia="仿宋_GB2312" w:cs="仿宋_GB2312"/>
          <w:sz w:val="32"/>
          <w:szCs w:val="32"/>
        </w:rPr>
        <w:t>对应的省内用电负荷、备用容量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外送</w:t>
      </w:r>
      <w:r>
        <w:rPr>
          <w:rFonts w:hint="eastAsia" w:ascii="仿宋_GB2312" w:hAnsi="仿宋_GB2312" w:eastAsia="仿宋_GB2312" w:cs="仿宋_GB2312"/>
          <w:sz w:val="32"/>
          <w:szCs w:val="32"/>
        </w:rPr>
        <w:t>电功率</w:t>
      </w:r>
      <w:r>
        <w:rPr>
          <w:rFonts w:ascii="仿宋_GB2312" w:hAnsi="仿宋_GB2312" w:eastAsia="仿宋_GB2312" w:cs="仿宋_GB2312"/>
          <w:sz w:val="32"/>
          <w:szCs w:val="32"/>
        </w:rPr>
        <w:t>确定。</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采取</w:t>
      </w:r>
      <w:r>
        <w:rPr>
          <w:rFonts w:hint="eastAsia" w:ascii="仿宋_GB2312" w:hAnsi="仿宋_GB2312" w:eastAsia="仿宋_GB2312" w:cs="仿宋_GB2312"/>
          <w:sz w:val="32"/>
          <w:szCs w:val="32"/>
        </w:rPr>
        <w:t>“点对网”“点对</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rPr>
        <w:t>”送电的，</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电力电量纳入受端电网平衡，不计入省内容量需求；</w:t>
      </w:r>
      <w:r>
        <w:rPr>
          <w:rFonts w:hint="eastAsia" w:ascii="仿宋_GB2312" w:hAnsi="仿宋_GB2312" w:eastAsia="仿宋_GB2312" w:cs="仿宋_GB2312"/>
          <w:sz w:val="32"/>
          <w:szCs w:val="32"/>
          <w:lang w:val="en-US" w:eastAsia="zh-CN"/>
        </w:rPr>
        <w:t>采取</w:t>
      </w:r>
      <w:r>
        <w:rPr>
          <w:rFonts w:hint="eastAsia" w:ascii="仿宋_GB2312" w:hAnsi="仿宋_GB2312" w:eastAsia="仿宋_GB2312" w:cs="仿宋_GB2312"/>
          <w:sz w:val="32"/>
          <w:szCs w:val="32"/>
        </w:rPr>
        <w:t>“网对网”送电的，</w:t>
      </w:r>
      <w:r>
        <w:rPr>
          <w:rFonts w:hint="eastAsia" w:ascii="仿宋_GB2312" w:hAnsi="仿宋_GB2312" w:eastAsia="仿宋_GB2312" w:cs="仿宋_GB2312"/>
          <w:sz w:val="32"/>
          <w:szCs w:val="32"/>
          <w:lang w:val="en-US" w:eastAsia="zh-CN"/>
        </w:rPr>
        <w:t>其容量需求</w:t>
      </w:r>
      <w:r>
        <w:rPr>
          <w:rFonts w:hint="eastAsia" w:ascii="仿宋_GB2312" w:hAnsi="仿宋_GB2312" w:eastAsia="仿宋_GB2312" w:cs="仿宋_GB2312"/>
          <w:sz w:val="32"/>
          <w:szCs w:val="32"/>
        </w:rPr>
        <w:t>按送受电协议明确的曲线确定。</w:t>
      </w:r>
    </w:p>
    <w:p w14:paraId="5A98E0AE">
      <w:pPr>
        <w:pStyle w:val="3"/>
        <w:keepNext w:val="0"/>
        <w:keepLines w:val="0"/>
        <w:pageBreakBefore w:val="0"/>
        <w:kinsoku/>
        <w:wordWrap/>
        <w:topLinePunct w:val="0"/>
        <w:autoSpaceDE/>
        <w:autoSpaceDN/>
        <w:bidi w:val="0"/>
        <w:spacing w:after="0"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rPr>
        <w:t>（二）电源类型。</w:t>
      </w:r>
      <w:r>
        <w:rPr>
          <w:rFonts w:hint="eastAsia" w:ascii="仿宋_GB2312" w:hAnsi="仿宋_GB2312" w:eastAsia="仿宋_GB2312" w:cs="仿宋_GB2312"/>
          <w:sz w:val="32"/>
          <w:szCs w:val="32"/>
        </w:rPr>
        <w:t>电源有效容量按发电特性</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分类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持续调节性电源</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包括火电、可调节水电（原则上为季调节及以上水电）；不可持续调节性电源</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包括抽水蓄能、新型储能、光热发电；不可调节性电源</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包括风电、光伏、不可调节水电（原则上为季调节以下水电）。</w:t>
      </w:r>
    </w:p>
    <w:p w14:paraId="131350BA">
      <w:pPr>
        <w:pStyle w:val="3"/>
        <w:keepNext w:val="0"/>
        <w:keepLines w:val="0"/>
        <w:pageBreakBefore w:val="0"/>
        <w:kinsoku/>
        <w:wordWrap/>
        <w:topLinePunct w:val="0"/>
        <w:autoSpaceDE/>
        <w:autoSpaceDN/>
        <w:bidi w:val="0"/>
        <w:spacing w:after="0"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rPr>
        <w:t>（三）有效容量。</w:t>
      </w:r>
      <w:r>
        <w:rPr>
          <w:rFonts w:hint="eastAsia" w:ascii="仿宋_GB2312" w:hAnsi="仿宋_GB2312" w:eastAsia="仿宋_GB2312" w:cs="仿宋_GB2312"/>
          <w:sz w:val="32"/>
          <w:szCs w:val="32"/>
        </w:rPr>
        <w:t>有效容量为机组在电力系统净负荷高峰时段能够提供的可靠容量，系统净负荷高峰时段基于系统运行历史数据进行测算，按季公布。</w:t>
      </w:r>
    </w:p>
    <w:p w14:paraId="596EDE8C">
      <w:pPr>
        <w:pStyle w:val="3"/>
        <w:keepNext w:val="0"/>
        <w:keepLines w:val="0"/>
        <w:pageBreakBefore w:val="0"/>
        <w:kinsoku/>
        <w:wordWrap/>
        <w:topLinePunct w:val="0"/>
        <w:autoSpaceDE/>
        <w:autoSpaceDN/>
        <w:bidi w:val="0"/>
        <w:spacing w:after="0" w:line="576" w:lineRule="exact"/>
        <w:ind w:left="40" w:leftChars="19"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调节性电源的有效容量，为机组额定容量扣除厂用电后确定。不可持续调节性电源的有效容量，为最大可储存电能量除以系统净负荷高峰持续时长，与最大放电功率的较小值。不可调节性电源的有效容量，为装机容量与该类型电源的有效容量系数乘积。有效容量系数使用采样统计法，为该类型电源近三至五年净负荷高峰时段平均负荷率或全年平均负荷率较小值。省间外购电参与有效容量评估，按照送电曲线或协议约定曲线确定。</w:t>
      </w:r>
    </w:p>
    <w:p w14:paraId="1ED71303">
      <w:pPr>
        <w:pStyle w:val="3"/>
        <w:keepNext w:val="0"/>
        <w:keepLines w:val="0"/>
        <w:pageBreakBefore w:val="0"/>
        <w:kinsoku/>
        <w:wordWrap/>
        <w:topLinePunct w:val="0"/>
        <w:autoSpaceDE/>
        <w:autoSpaceDN/>
        <w:bidi w:val="0"/>
        <w:spacing w:after="0"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rPr>
        <w:t>（四）容量供需系数。</w:t>
      </w:r>
      <w:r>
        <w:rPr>
          <w:rFonts w:hint="eastAsia" w:ascii="仿宋_GB2312" w:hAnsi="仿宋_GB2312" w:eastAsia="仿宋_GB2312" w:cs="仿宋_GB2312"/>
          <w:sz w:val="32"/>
          <w:szCs w:val="32"/>
        </w:rPr>
        <w:t>容量供需系数为容量需求与省内电源（包括省间外购电）的总有效容量的比值，初期</w:t>
      </w:r>
      <w:r>
        <w:rPr>
          <w:rFonts w:hint="eastAsia" w:ascii="仿宋_GB2312" w:hAnsi="仿宋_GB2312" w:eastAsia="仿宋_GB2312" w:cs="仿宋_GB2312"/>
          <w:sz w:val="32"/>
          <w:szCs w:val="32"/>
          <w:lang w:bidi="ar"/>
        </w:rPr>
        <w:t>数值大于1时取1。后续根据新型电力系统建设供需情况，由</w:t>
      </w:r>
      <w:r>
        <w:rPr>
          <w:rFonts w:hint="eastAsia" w:ascii="仿宋_GB2312" w:hAnsi="仿宋_GB2312" w:eastAsia="仿宋_GB2312" w:cs="仿宋_GB2312"/>
          <w:sz w:val="32"/>
          <w:szCs w:val="32"/>
          <w:lang w:eastAsia="zh-CN" w:bidi="ar"/>
        </w:rPr>
        <w:t>省发展改革委</w:t>
      </w:r>
      <w:r>
        <w:rPr>
          <w:rFonts w:hint="eastAsia" w:ascii="仿宋_GB2312" w:hAnsi="仿宋_GB2312" w:eastAsia="仿宋_GB2312" w:cs="仿宋_GB2312"/>
          <w:sz w:val="32"/>
          <w:szCs w:val="32"/>
          <w:lang w:bidi="ar"/>
        </w:rPr>
        <w:t>适时调整。</w:t>
      </w:r>
    </w:p>
    <w:p w14:paraId="261BDD31">
      <w:pPr>
        <w:pStyle w:val="2"/>
        <w:keepNext w:val="0"/>
        <w:keepLines w:val="0"/>
        <w:pageBreakBefore w:val="0"/>
        <w:kinsoku/>
        <w:wordWrap/>
        <w:topLinePunct w:val="0"/>
        <w:autoSpaceDE/>
        <w:autoSpaceDN/>
        <w:bidi w:val="0"/>
        <w:spacing w:after="0" w:line="576" w:lineRule="exact"/>
        <w:ind w:firstLine="640"/>
        <w:jc w:val="both"/>
        <w:textAlignment w:val="auto"/>
        <w:outlineLvl w:val="1"/>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容量</w:t>
      </w:r>
      <w:r>
        <w:rPr>
          <w:rFonts w:hint="eastAsia" w:ascii="Times New Roman" w:hAnsi="Times New Roman" w:eastAsia="黑体"/>
          <w:sz w:val="32"/>
          <w:szCs w:val="32"/>
        </w:rPr>
        <w:t>补偿标准</w:t>
      </w:r>
    </w:p>
    <w:p w14:paraId="00F09F3D">
      <w:pPr>
        <w:pStyle w:val="3"/>
        <w:keepNext w:val="0"/>
        <w:keepLines w:val="0"/>
        <w:pageBreakBefore w:val="0"/>
        <w:kinsoku/>
        <w:wordWrap/>
        <w:overflowPunct w:val="0"/>
        <w:topLinePunct w:val="0"/>
        <w:autoSpaceDE/>
        <w:autoSpaceDN/>
        <w:bidi w:val="0"/>
        <w:adjustRightInd w:val="0"/>
        <w:snapToGrid w:val="0"/>
        <w:spacing w:after="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各类电源实行统一的容量补偿标准，按照回收系统长期边际机组全部或一定比例固定成本的方式确定。初期参考《关于建立煤电容量补偿机制的通知》（发改价格〔2023〕1501号）确定。后期由</w:t>
      </w:r>
      <w:r>
        <w:rPr>
          <w:rFonts w:hint="eastAsia" w:ascii="仿宋_GB2312" w:hAnsi="仿宋_GB2312" w:eastAsia="仿宋_GB2312" w:cs="仿宋_GB2312"/>
          <w:sz w:val="32"/>
          <w:szCs w:val="32"/>
          <w:lang w:eastAsia="zh-CN"/>
        </w:rPr>
        <w:t>省发展改革委</w:t>
      </w:r>
      <w:r>
        <w:rPr>
          <w:rFonts w:hint="eastAsia" w:ascii="仿宋_GB2312" w:hAnsi="仿宋_GB2312" w:eastAsia="仿宋_GB2312" w:cs="仿宋_GB2312"/>
          <w:sz w:val="32"/>
          <w:szCs w:val="32"/>
          <w:lang w:val="en-US" w:eastAsia="zh-CN"/>
        </w:rPr>
        <w:t>综合考虑</w:t>
      </w:r>
      <w:r>
        <w:rPr>
          <w:rFonts w:hint="eastAsia" w:ascii="仿宋_GB2312" w:hAnsi="仿宋_GB2312" w:eastAsia="仿宋_GB2312" w:cs="仿宋_GB2312"/>
          <w:sz w:val="32"/>
          <w:szCs w:val="32"/>
        </w:rPr>
        <w:t>市场运行、机组建设成本等</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按照回收</w:t>
      </w:r>
      <w:r>
        <w:rPr>
          <w:rFonts w:hint="eastAsia" w:ascii="仿宋_GB2312" w:hAnsi="仿宋_GB2312" w:eastAsia="仿宋_GB2312" w:cs="仿宋_GB2312"/>
          <w:color w:val="000000" w:themeColor="text1"/>
          <w:sz w:val="32"/>
          <w:szCs w:val="32"/>
          <w14:textFill>
            <w14:solidFill>
              <w14:schemeClr w14:val="tx1"/>
            </w14:solidFill>
          </w14:textFill>
        </w:rPr>
        <w:t>边际机组全部固定成本</w:t>
      </w:r>
      <w:r>
        <w:rPr>
          <w:rFonts w:hint="eastAsia" w:ascii="仿宋_GB2312" w:hAnsi="仿宋_GB2312" w:eastAsia="仿宋_GB2312" w:cs="仿宋_GB2312"/>
          <w:sz w:val="32"/>
          <w:szCs w:val="32"/>
        </w:rPr>
        <w:t>调整确定。</w:t>
      </w:r>
    </w:p>
    <w:p w14:paraId="7E42E9C3">
      <w:pPr>
        <w:pStyle w:val="3"/>
        <w:keepNext w:val="0"/>
        <w:keepLines w:val="0"/>
        <w:pageBreakBefore w:val="0"/>
        <w:kinsoku/>
        <w:wordWrap/>
        <w:topLinePunct w:val="0"/>
        <w:autoSpaceDE/>
        <w:autoSpaceDN/>
        <w:bidi w:val="0"/>
        <w:spacing w:after="0" w:line="576" w:lineRule="exact"/>
        <w:ind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五、容量电费结算</w:t>
      </w:r>
    </w:p>
    <w:p w14:paraId="76FA4F09">
      <w:pPr>
        <w:pStyle w:val="3"/>
        <w:keepNext w:val="0"/>
        <w:keepLines w:val="0"/>
        <w:pageBreakBefore w:val="0"/>
        <w:kinsoku/>
        <w:wordWrap/>
        <w:overflowPunct w:val="0"/>
        <w:topLinePunct w:val="0"/>
        <w:autoSpaceDE/>
        <w:autoSpaceDN/>
        <w:bidi w:val="0"/>
        <w:adjustRightInd w:val="0"/>
        <w:snapToGrid w:val="0"/>
        <w:spacing w:after="0"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（一）计算方式。</w:t>
      </w:r>
      <w:r>
        <w:rPr>
          <w:rFonts w:hint="eastAsia" w:ascii="仿宋_GB2312" w:hAnsi="仿宋_GB2312" w:eastAsia="仿宋_GB2312" w:cs="仿宋_GB2312"/>
          <w:sz w:val="32"/>
          <w:szCs w:val="32"/>
        </w:rPr>
        <w:t>容量电费按机组</w:t>
      </w:r>
      <w:r>
        <w:rPr>
          <w:rFonts w:hint="eastAsia" w:ascii="仿宋_GB2312" w:hAnsi="仿宋_GB2312" w:eastAsia="仿宋_GB2312" w:cs="仿宋_GB2312"/>
          <w:sz w:val="32"/>
          <w:szCs w:val="32"/>
          <w:lang w:eastAsia="zh-CN"/>
        </w:rPr>
        <w:t>申报容量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容量供需系数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容量补偿标准确定</w:t>
      </w:r>
      <w:r>
        <w:rPr>
          <w:rFonts w:hint="eastAsia" w:ascii="仿宋_GB2312" w:hAnsi="仿宋_GB2312" w:eastAsia="仿宋_GB2312" w:cs="仿宋_GB2312"/>
          <w:sz w:val="32"/>
          <w:szCs w:val="32"/>
          <w:lang w:eastAsia="zh-CN"/>
        </w:rPr>
        <w:t>。发电机组按月向电网申报容量，申报容量不得超过其有效容量，</w:t>
      </w:r>
      <w:r>
        <w:rPr>
          <w:rFonts w:hint="eastAsia" w:ascii="仿宋_GB2312" w:hAnsi="仿宋_GB2312" w:eastAsia="仿宋_GB2312" w:cs="仿宋_GB2312"/>
          <w:sz w:val="32"/>
          <w:szCs w:val="32"/>
        </w:rPr>
        <w:t>电网企业</w:t>
      </w:r>
      <w:r>
        <w:rPr>
          <w:rFonts w:hint="eastAsia" w:ascii="仿宋_GB2312" w:hAnsi="仿宋_GB2312" w:eastAsia="仿宋_GB2312" w:cs="仿宋_GB2312"/>
          <w:sz w:val="32"/>
          <w:szCs w:val="32"/>
          <w:lang w:eastAsia="zh-CN"/>
        </w:rPr>
        <w:t>计算容量电费并</w:t>
      </w:r>
      <w:r>
        <w:rPr>
          <w:rFonts w:hint="eastAsia" w:ascii="仿宋_GB2312" w:hAnsi="仿宋_GB2312" w:eastAsia="仿宋_GB2312" w:cs="仿宋_GB2312"/>
          <w:sz w:val="32"/>
          <w:szCs w:val="32"/>
        </w:rPr>
        <w:t>按月结算。</w:t>
      </w:r>
    </w:p>
    <w:p w14:paraId="5F5F405E">
      <w:pPr>
        <w:keepNext w:val="0"/>
        <w:keepLines w:val="0"/>
        <w:pageBreakBefore w:val="0"/>
        <w:kinsoku/>
        <w:wordWrap/>
        <w:topLinePunct w:val="0"/>
        <w:autoSpaceDE/>
        <w:autoSpaceDN/>
        <w:bidi w:val="0"/>
        <w:spacing w:after="0"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rPr>
        <w:t>（二）分摊方式。</w:t>
      </w:r>
      <w:r>
        <w:rPr>
          <w:rFonts w:ascii="Times New Roman" w:hAnsi="Times New Roman" w:eastAsia="仿宋_GB2312"/>
          <w:sz w:val="32"/>
          <w:szCs w:val="32"/>
        </w:rPr>
        <w:t>容量电费按照月度外送电量（不含直流配套电源）和省内全体工商业用户月度用电量比例分摊，由</w:t>
      </w:r>
      <w:r>
        <w:rPr>
          <w:rFonts w:hint="eastAsia" w:ascii="Times New Roman" w:hAnsi="Times New Roman" w:eastAsia="仿宋_GB2312"/>
          <w:sz w:val="32"/>
          <w:szCs w:val="32"/>
        </w:rPr>
        <w:t>电网企业</w:t>
      </w:r>
      <w:r>
        <w:rPr>
          <w:rFonts w:ascii="Times New Roman" w:hAnsi="Times New Roman" w:eastAsia="仿宋_GB2312"/>
          <w:sz w:val="32"/>
          <w:szCs w:val="32"/>
        </w:rPr>
        <w:t>按月发布、滚动清算。其中</w:t>
      </w:r>
      <w:r>
        <w:rPr>
          <w:rFonts w:hint="eastAsia" w:ascii="Times New Roman" w:hAnsi="Times New Roman" w:eastAsia="仿宋_GB2312"/>
          <w:sz w:val="32"/>
          <w:szCs w:val="32"/>
          <w:lang w:eastAsia="zh-CN"/>
        </w:rPr>
        <w:t>：</w:t>
      </w:r>
      <w:r>
        <w:rPr>
          <w:rFonts w:ascii="Times New Roman" w:hAnsi="Times New Roman" w:eastAsia="仿宋_GB2312"/>
          <w:sz w:val="32"/>
          <w:szCs w:val="32"/>
        </w:rPr>
        <w:t>月度外送电量（不含直流配套电源）对应的容量</w:t>
      </w:r>
      <w:r>
        <w:rPr>
          <w:rFonts w:hint="eastAsia" w:ascii="Times New Roman" w:hAnsi="Times New Roman" w:eastAsia="仿宋_GB2312"/>
          <w:sz w:val="32"/>
          <w:szCs w:val="32"/>
        </w:rPr>
        <w:t>电费</w:t>
      </w:r>
      <w:r>
        <w:rPr>
          <w:rFonts w:ascii="Times New Roman" w:hAnsi="Times New Roman" w:eastAsia="仿宋_GB2312"/>
          <w:sz w:val="32"/>
          <w:szCs w:val="32"/>
        </w:rPr>
        <w:t>由电源企业与受端省份协商确定；省内工商业用户对应的容量</w:t>
      </w:r>
      <w:r>
        <w:rPr>
          <w:rFonts w:hint="eastAsia" w:ascii="Times New Roman" w:hAnsi="Times New Roman" w:eastAsia="仿宋_GB2312"/>
          <w:sz w:val="32"/>
          <w:szCs w:val="32"/>
        </w:rPr>
        <w:t>电费</w:t>
      </w:r>
      <w:r>
        <w:rPr>
          <w:rFonts w:ascii="Times New Roman" w:hAnsi="Times New Roman" w:eastAsia="仿宋_GB2312"/>
          <w:sz w:val="32"/>
          <w:szCs w:val="32"/>
        </w:rPr>
        <w:t>由全体工商业用户按当月用电量比例分摊</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由电网企业负责收取。分摊容量电费纳入系统运行费用，在系统运行费用科目中下设“市场化容量补偿电费”项，实行单独归集</w:t>
      </w:r>
      <w:r>
        <w:rPr>
          <w:rFonts w:hint="eastAsia" w:ascii="仿宋_GB2312" w:hAnsi="仿宋_GB2312" w:eastAsia="仿宋_GB2312" w:cs="仿宋_GB2312"/>
          <w:sz w:val="32"/>
          <w:szCs w:val="32"/>
          <w:lang w:val="en-US" w:eastAsia="zh-CN"/>
        </w:rPr>
        <w:t>核算</w:t>
      </w:r>
      <w:r>
        <w:rPr>
          <w:rFonts w:hint="eastAsia" w:ascii="仿宋_GB2312" w:hAnsi="仿宋_GB2312" w:eastAsia="仿宋_GB2312" w:cs="仿宋_GB2312"/>
          <w:sz w:val="32"/>
          <w:szCs w:val="32"/>
        </w:rPr>
        <w:t>。</w:t>
      </w:r>
    </w:p>
    <w:p w14:paraId="314A5BF5">
      <w:pPr>
        <w:pStyle w:val="3"/>
        <w:keepNext w:val="0"/>
        <w:keepLines w:val="0"/>
        <w:pageBreakBefore w:val="0"/>
        <w:kinsoku/>
        <w:wordWrap/>
        <w:topLinePunct w:val="0"/>
        <w:autoSpaceDE/>
        <w:autoSpaceDN/>
        <w:bidi w:val="0"/>
        <w:spacing w:after="0"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rPr>
        <w:t>（三）费用考核。</w:t>
      </w:r>
      <w:r>
        <w:rPr>
          <w:rFonts w:hint="eastAsia" w:ascii="仿宋_GB2312" w:hAnsi="仿宋_GB2312" w:eastAsia="仿宋_GB2312" w:cs="仿宋_GB2312"/>
          <w:sz w:val="32"/>
          <w:szCs w:val="32"/>
        </w:rPr>
        <w:t>在系统全年净负荷高峰时段，机组无法按照调度指令（跨省跨区送电按合同约定）提供有效容量的，扣减机组实际出力不足有效容量部分的全年容量补偿电费。出力未达标情况由电网企业按</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统计、公布、滚动清算。</w:t>
      </w:r>
    </w:p>
    <w:p w14:paraId="76831938">
      <w:pPr>
        <w:keepNext w:val="0"/>
        <w:keepLines w:val="0"/>
        <w:pageBreakBefore w:val="0"/>
        <w:kinsoku/>
        <w:wordWrap/>
        <w:topLinePunct w:val="0"/>
        <w:autoSpaceDE/>
        <w:autoSpaceDN/>
        <w:bidi w:val="0"/>
        <w:spacing w:after="0" w:line="576" w:lineRule="exact"/>
        <w:ind w:firstLine="640" w:firstLineChars="200"/>
        <w:jc w:val="both"/>
        <w:textAlignment w:val="auto"/>
        <w:rPr>
          <w:rFonts w:ascii="Times New Roman" w:hAnsi="Times New Roman"/>
        </w:rPr>
      </w:pPr>
      <w:r>
        <w:rPr>
          <w:rFonts w:hint="eastAsia" w:ascii="Times New Roman" w:hAnsi="Times New Roman" w:eastAsia="黑体"/>
          <w:sz w:val="32"/>
          <w:szCs w:val="32"/>
        </w:rPr>
        <w:t>六</w:t>
      </w:r>
      <w:r>
        <w:rPr>
          <w:rFonts w:ascii="Times New Roman" w:hAnsi="Times New Roman" w:eastAsia="黑体"/>
          <w:sz w:val="32"/>
          <w:szCs w:val="32"/>
        </w:rPr>
        <w:t>、</w:t>
      </w:r>
      <w:r>
        <w:rPr>
          <w:rFonts w:hint="eastAsia" w:ascii="Times New Roman" w:hAnsi="Times New Roman" w:eastAsia="黑体"/>
          <w:sz w:val="32"/>
          <w:szCs w:val="32"/>
        </w:rPr>
        <w:t>市场机制衔接</w:t>
      </w:r>
    </w:p>
    <w:p w14:paraId="52CECE5B">
      <w:pPr>
        <w:pStyle w:val="3"/>
        <w:keepNext w:val="0"/>
        <w:keepLines w:val="0"/>
        <w:pageBreakBefore w:val="0"/>
        <w:widowControl/>
        <w:numPr>
          <w:ilvl w:val="255"/>
          <w:numId w:val="0"/>
        </w:numPr>
        <w:kinsoku/>
        <w:wordWrap/>
        <w:topLinePunct w:val="0"/>
        <w:autoSpaceDE/>
        <w:autoSpaceDN/>
        <w:bidi w:val="0"/>
        <w:adjustRightInd w:val="0"/>
        <w:snapToGrid w:val="0"/>
        <w:spacing w:after="0" w:line="576"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（一）与煤电容量补偿的衔接。</w:t>
      </w:r>
      <w:r>
        <w:rPr>
          <w:rFonts w:hint="eastAsia" w:ascii="仿宋_GB2312" w:hAnsi="仿宋_GB2312" w:eastAsia="仿宋_GB2312" w:cs="仿宋_GB2312"/>
          <w:sz w:val="32"/>
          <w:szCs w:val="32"/>
        </w:rPr>
        <w:t>省发展改革委</w:t>
      </w:r>
      <w:r>
        <w:rPr>
          <w:rFonts w:hint="eastAsia" w:ascii="仿宋_GB2312" w:hAnsi="仿宋_GB2312" w:eastAsia="仿宋_GB2312" w:cs="仿宋_GB2312"/>
          <w:sz w:val="32"/>
          <w:szCs w:val="32"/>
          <w:lang w:val="en-US" w:eastAsia="zh-CN"/>
        </w:rPr>
        <w:t>会同</w:t>
      </w:r>
      <w:r>
        <w:rPr>
          <w:rFonts w:hint="eastAsia" w:ascii="仿宋_GB2312" w:hAnsi="仿宋_GB2312" w:eastAsia="仿宋_GB2312" w:cs="仿宋_GB2312"/>
          <w:sz w:val="32"/>
          <w:szCs w:val="32"/>
        </w:rPr>
        <w:t>省能源局</w:t>
      </w:r>
      <w:r>
        <w:rPr>
          <w:rFonts w:hint="eastAsia" w:ascii="仿宋_GB2312" w:hAnsi="仿宋_GB2312" w:eastAsia="仿宋_GB2312" w:cs="仿宋_GB2312"/>
          <w:sz w:val="32"/>
          <w:szCs w:val="32"/>
          <w:lang w:val="en-US" w:eastAsia="zh-CN"/>
        </w:rPr>
        <w:t>研究核定全省</w:t>
      </w:r>
      <w:r>
        <w:rPr>
          <w:rFonts w:hint="eastAsia" w:ascii="仿宋_GB2312" w:hAnsi="仿宋_GB2312" w:eastAsia="仿宋_GB2312" w:cs="仿宋_GB2312"/>
          <w:sz w:val="32"/>
          <w:szCs w:val="32"/>
        </w:rPr>
        <w:t>统一的容量补偿标准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并与</w:t>
      </w:r>
      <w:r>
        <w:rPr>
          <w:rFonts w:hint="eastAsia" w:ascii="仿宋_GB2312" w:hAnsi="仿宋_GB2312" w:eastAsia="仿宋_GB2312" w:cs="仿宋_GB2312"/>
          <w:sz w:val="32"/>
          <w:szCs w:val="32"/>
        </w:rPr>
        <w:t>省发展改革委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省能源局《关于建立煤电容量补偿机制的通知》(青发改价格〔2023〕950号)规定的容量补偿标准</w:t>
      </w:r>
      <w:r>
        <w:rPr>
          <w:rFonts w:hint="eastAsia" w:ascii="仿宋_GB2312" w:hAnsi="仿宋_GB2312" w:eastAsia="仿宋_GB2312" w:cs="仿宋_GB2312"/>
          <w:sz w:val="32"/>
          <w:szCs w:val="32"/>
          <w:lang w:val="en-US" w:eastAsia="zh-CN"/>
        </w:rPr>
        <w:t>进行衔接</w:t>
      </w:r>
      <w:r>
        <w:rPr>
          <w:rFonts w:hint="eastAsia" w:ascii="仿宋_GB2312" w:hAnsi="仿宋_GB2312" w:eastAsia="仿宋_GB2312" w:cs="仿宋_GB2312"/>
          <w:kern w:val="0"/>
          <w:sz w:val="32"/>
          <w:szCs w:val="32"/>
        </w:rPr>
        <w:t>。</w:t>
      </w:r>
    </w:p>
    <w:p w14:paraId="57AFED11">
      <w:pPr>
        <w:pStyle w:val="3"/>
        <w:keepNext w:val="0"/>
        <w:keepLines w:val="0"/>
        <w:pageBreakBefore w:val="0"/>
        <w:widowControl/>
        <w:numPr>
          <w:ilvl w:val="255"/>
          <w:numId w:val="0"/>
        </w:numPr>
        <w:kinsoku/>
        <w:wordWrap/>
        <w:topLinePunct w:val="0"/>
        <w:autoSpaceDE/>
        <w:autoSpaceDN/>
        <w:bidi w:val="0"/>
        <w:adjustRightInd w:val="0"/>
        <w:snapToGrid w:val="0"/>
        <w:spacing w:after="0" w:line="576"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（二）与气电容量补偿的衔接。</w:t>
      </w:r>
      <w:r>
        <w:rPr>
          <w:rFonts w:hint="eastAsia" w:ascii="仿宋_GB2312" w:hAnsi="仿宋_GB2312" w:eastAsia="仿宋_GB2312" w:cs="仿宋_GB2312"/>
          <w:sz w:val="32"/>
          <w:szCs w:val="32"/>
          <w:lang w:val="en-US" w:eastAsia="zh-CN"/>
        </w:rPr>
        <w:t>燃气发电</w:t>
      </w:r>
      <w:r>
        <w:rPr>
          <w:rFonts w:hint="eastAsia" w:ascii="仿宋_GB2312" w:hAnsi="仿宋_GB2312" w:eastAsia="仿宋_GB2312" w:cs="仿宋_GB2312"/>
          <w:sz w:val="32"/>
          <w:szCs w:val="32"/>
        </w:rPr>
        <w:t>继续衔接现行容量补偿</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待全面</w:t>
      </w:r>
      <w:r>
        <w:rPr>
          <w:rFonts w:hint="eastAsia" w:ascii="仿宋_GB2312" w:hAnsi="仿宋_GB2312" w:eastAsia="仿宋_GB2312" w:cs="仿宋_GB2312"/>
          <w:sz w:val="32"/>
          <w:szCs w:val="32"/>
        </w:rPr>
        <w:t>参与市场化后执行</w:t>
      </w:r>
      <w:r>
        <w:rPr>
          <w:rFonts w:hint="eastAsia" w:ascii="仿宋_GB2312" w:hAnsi="仿宋_GB2312" w:eastAsia="仿宋_GB2312" w:cs="仿宋_GB2312"/>
          <w:sz w:val="32"/>
          <w:szCs w:val="32"/>
          <w:lang w:val="en-US" w:eastAsia="zh-CN"/>
        </w:rPr>
        <w:t>全省</w:t>
      </w:r>
      <w:r>
        <w:rPr>
          <w:rFonts w:hint="eastAsia" w:ascii="仿宋_GB2312" w:hAnsi="仿宋_GB2312" w:eastAsia="仿宋_GB2312" w:cs="仿宋_GB2312"/>
          <w:sz w:val="32"/>
          <w:szCs w:val="32"/>
        </w:rPr>
        <w:t>统一的容量补偿标准。</w:t>
      </w:r>
    </w:p>
    <w:p w14:paraId="3AFC7E1A">
      <w:pPr>
        <w:keepNext w:val="0"/>
        <w:keepLines w:val="0"/>
        <w:pageBreakBefore w:val="0"/>
        <w:kinsoku/>
        <w:wordWrap/>
        <w:topLinePunct w:val="0"/>
        <w:autoSpaceDE/>
        <w:autoSpaceDN/>
        <w:bidi w:val="0"/>
        <w:spacing w:after="0" w:line="576" w:lineRule="exact"/>
        <w:ind w:firstLine="640" w:firstLineChars="200"/>
        <w:jc w:val="both"/>
        <w:textAlignment w:val="auto"/>
        <w:rPr>
          <w:rFonts w:ascii="Times New Roman" w:hAnsi="Times New Roman"/>
        </w:rPr>
      </w:pPr>
      <w:r>
        <w:rPr>
          <w:rFonts w:hint="eastAsia" w:ascii="Times New Roman" w:hAnsi="Times New Roman" w:eastAsia="黑体"/>
          <w:sz w:val="32"/>
          <w:szCs w:val="32"/>
        </w:rPr>
        <w:t>七</w:t>
      </w:r>
      <w:r>
        <w:rPr>
          <w:rFonts w:ascii="Times New Roman" w:hAnsi="Times New Roman" w:eastAsia="黑体"/>
          <w:sz w:val="32"/>
          <w:szCs w:val="32"/>
        </w:rPr>
        <w:t>、</w:t>
      </w:r>
      <w:r>
        <w:rPr>
          <w:rFonts w:hint="eastAsia" w:ascii="Times New Roman" w:hAnsi="Times New Roman" w:eastAsia="黑体"/>
          <w:sz w:val="32"/>
          <w:szCs w:val="32"/>
        </w:rPr>
        <w:t>保障机制</w:t>
      </w:r>
    </w:p>
    <w:p w14:paraId="0322AF39">
      <w:pPr>
        <w:pStyle w:val="2"/>
        <w:keepNext w:val="0"/>
        <w:keepLines w:val="0"/>
        <w:pageBreakBefore w:val="0"/>
        <w:kinsoku/>
        <w:wordWrap/>
        <w:overflowPunct w:val="0"/>
        <w:topLinePunct w:val="0"/>
        <w:autoSpaceDE/>
        <w:autoSpaceDN/>
        <w:bidi w:val="0"/>
        <w:adjustRightInd w:val="0"/>
        <w:snapToGrid w:val="0"/>
        <w:spacing w:after="0" w:line="576" w:lineRule="exact"/>
        <w:ind w:firstLine="640"/>
        <w:jc w:val="both"/>
        <w:textAlignment w:val="auto"/>
        <w:outlineLvl w:val="1"/>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做好</w:t>
      </w:r>
      <w:r>
        <w:rPr>
          <w:rFonts w:hint="eastAsia" w:ascii="楷体_GB2312" w:hAnsi="楷体_GB2312" w:eastAsia="楷体_GB2312" w:cs="楷体_GB2312"/>
          <w:sz w:val="32"/>
          <w:szCs w:val="32"/>
        </w:rPr>
        <w:t>成本测算。</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发展改革委</w:t>
      </w:r>
      <w:r>
        <w:rPr>
          <w:rFonts w:ascii="仿宋_GB2312" w:hAnsi="仿宋_GB2312" w:eastAsia="仿宋_GB2312" w:cs="仿宋_GB2312"/>
          <w:sz w:val="32"/>
          <w:szCs w:val="32"/>
        </w:rPr>
        <w:t>会同</w:t>
      </w:r>
      <w:r>
        <w:rPr>
          <w:rFonts w:hint="eastAsia" w:ascii="Times New Roman" w:hAnsi="Times New Roman" w:eastAsia="仿宋_GB2312"/>
          <w:kern w:val="0"/>
          <w:sz w:val="32"/>
          <w:szCs w:val="32"/>
          <w:lang w:val="en-US" w:eastAsia="zh-CN"/>
        </w:rPr>
        <w:t>省</w:t>
      </w:r>
      <w:r>
        <w:rPr>
          <w:rFonts w:ascii="Times New Roman" w:hAnsi="Times New Roman" w:eastAsia="仿宋_GB2312"/>
          <w:kern w:val="0"/>
          <w:sz w:val="32"/>
          <w:szCs w:val="32"/>
        </w:rPr>
        <w:t>能源</w:t>
      </w:r>
      <w:r>
        <w:rPr>
          <w:rFonts w:hint="eastAsia" w:ascii="Times New Roman" w:hAnsi="Times New Roman" w:eastAsia="仿宋_GB2312"/>
          <w:kern w:val="0"/>
          <w:sz w:val="32"/>
          <w:szCs w:val="32"/>
          <w:lang w:val="en-US" w:eastAsia="zh-CN"/>
        </w:rPr>
        <w:t>局，组织</w:t>
      </w:r>
      <w:r>
        <w:rPr>
          <w:rFonts w:hint="eastAsia" w:ascii="仿宋_GB2312" w:hAnsi="仿宋_GB2312" w:eastAsia="仿宋_GB2312" w:cs="仿宋_GB2312"/>
          <w:sz w:val="32"/>
          <w:szCs w:val="32"/>
        </w:rPr>
        <w:t>电网企业</w:t>
      </w:r>
      <w:r>
        <w:rPr>
          <w:rFonts w:hint="eastAsia" w:ascii="仿宋_GB2312" w:hAnsi="仿宋_GB2312" w:eastAsia="仿宋_GB2312" w:cs="仿宋_GB2312"/>
          <w:sz w:val="32"/>
          <w:szCs w:val="32"/>
          <w:lang w:eastAsia="zh-CN"/>
        </w:rPr>
        <w:t>及第三方专业咨询机构</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发电</w:t>
      </w:r>
      <w:r>
        <w:rPr>
          <w:rFonts w:hint="eastAsia" w:ascii="仿宋_GB2312" w:hAnsi="仿宋_GB2312" w:eastAsia="仿宋_GB2312" w:cs="仿宋_GB2312"/>
          <w:sz w:val="32"/>
          <w:szCs w:val="32"/>
        </w:rPr>
        <w:t>成本测算，</w:t>
      </w:r>
      <w:r>
        <w:rPr>
          <w:rFonts w:hint="eastAsia" w:ascii="仿宋_GB2312" w:hAnsi="仿宋_GB2312" w:eastAsia="仿宋_GB2312" w:cs="仿宋_GB2312"/>
          <w:sz w:val="32"/>
          <w:szCs w:val="32"/>
          <w:lang w:val="en-US" w:eastAsia="zh-CN"/>
        </w:rPr>
        <w:t>测算结果作为制定调整</w:t>
      </w:r>
      <w:r>
        <w:rPr>
          <w:rFonts w:hint="eastAsia" w:ascii="仿宋_GB2312" w:hAnsi="仿宋_GB2312" w:eastAsia="仿宋_GB2312" w:cs="仿宋_GB2312"/>
          <w:sz w:val="32"/>
          <w:szCs w:val="32"/>
        </w:rPr>
        <w:t>容量补偿标准</w:t>
      </w:r>
      <w:r>
        <w:rPr>
          <w:rFonts w:hint="eastAsia" w:ascii="仿宋_GB2312" w:hAnsi="仿宋_GB2312" w:eastAsia="仿宋_GB2312" w:cs="仿宋_GB2312"/>
          <w:sz w:val="32"/>
          <w:szCs w:val="32"/>
          <w:lang w:val="en-US" w:eastAsia="zh-CN"/>
        </w:rPr>
        <w:t>的重要依据。</w:t>
      </w:r>
    </w:p>
    <w:p w14:paraId="733CD474">
      <w:pPr>
        <w:pStyle w:val="3"/>
        <w:keepNext w:val="0"/>
        <w:keepLines w:val="0"/>
        <w:pageBreakBefore w:val="0"/>
        <w:kinsoku/>
        <w:wordWrap/>
        <w:overflowPunct w:val="0"/>
        <w:topLinePunct w:val="0"/>
        <w:autoSpaceDE/>
        <w:autoSpaceDN/>
        <w:bidi w:val="0"/>
        <w:adjustRightInd w:val="0"/>
        <w:snapToGrid w:val="0"/>
        <w:spacing w:after="0"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rPr>
        <w:t>（二）</w:t>
      </w:r>
      <w:r>
        <w:rPr>
          <w:rFonts w:hint="eastAsia" w:ascii="楷体_GB2312" w:hAnsi="楷体_GB2312" w:eastAsia="楷体_GB2312" w:cs="楷体_GB2312"/>
          <w:kern w:val="0"/>
          <w:sz w:val="32"/>
          <w:szCs w:val="32"/>
          <w:lang w:val="en-US" w:eastAsia="zh-CN"/>
        </w:rPr>
        <w:t>开展</w:t>
      </w:r>
      <w:r>
        <w:rPr>
          <w:rFonts w:hint="eastAsia" w:ascii="楷体_GB2312" w:hAnsi="楷体_GB2312" w:eastAsia="楷体_GB2312" w:cs="楷体_GB2312"/>
          <w:kern w:val="0"/>
          <w:sz w:val="32"/>
          <w:szCs w:val="32"/>
        </w:rPr>
        <w:t>电价监测。</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发展改革委</w:t>
      </w:r>
      <w:r>
        <w:rPr>
          <w:rFonts w:hint="eastAsia" w:ascii="仿宋_GB2312" w:hAnsi="仿宋_GB2312" w:eastAsia="仿宋_GB2312" w:cs="仿宋_GB2312"/>
          <w:sz w:val="32"/>
          <w:szCs w:val="32"/>
        </w:rPr>
        <w:t>统筹开展电价水平监测，</w:t>
      </w:r>
      <w:r>
        <w:rPr>
          <w:rFonts w:hint="eastAsia" w:ascii="仿宋_GB2312" w:hAnsi="仿宋_GB2312" w:eastAsia="仿宋_GB2312" w:cs="仿宋_GB2312"/>
          <w:sz w:val="32"/>
          <w:szCs w:val="32"/>
          <w:lang w:val="en-US" w:eastAsia="zh-CN"/>
        </w:rPr>
        <w:t>统筹考虑</w:t>
      </w:r>
      <w:r>
        <w:rPr>
          <w:rFonts w:hint="eastAsia" w:ascii="仿宋_GB2312" w:hAnsi="仿宋_GB2312" w:eastAsia="仿宋_GB2312" w:cs="仿宋_GB2312"/>
          <w:sz w:val="32"/>
          <w:szCs w:val="32"/>
        </w:rPr>
        <w:t>发电成本</w:t>
      </w:r>
      <w:r>
        <w:rPr>
          <w:rFonts w:hint="eastAsia" w:ascii="仿宋_GB2312" w:hAnsi="仿宋_GB2312" w:eastAsia="仿宋_GB2312" w:cs="仿宋_GB2312"/>
          <w:sz w:val="32"/>
          <w:szCs w:val="32"/>
          <w:lang w:val="en-US" w:eastAsia="zh-CN"/>
        </w:rPr>
        <w:t>涨落</w:t>
      </w:r>
      <w:r>
        <w:rPr>
          <w:rFonts w:hint="eastAsia" w:ascii="仿宋_GB2312" w:hAnsi="仿宋_GB2312" w:eastAsia="仿宋_GB2312" w:cs="仿宋_GB2312"/>
          <w:sz w:val="32"/>
          <w:szCs w:val="32"/>
        </w:rPr>
        <w:t>、系统供需</w:t>
      </w:r>
      <w:r>
        <w:rPr>
          <w:rFonts w:hint="eastAsia" w:ascii="仿宋_GB2312" w:hAnsi="仿宋_GB2312" w:eastAsia="仿宋_GB2312" w:cs="仿宋_GB2312"/>
          <w:sz w:val="32"/>
          <w:szCs w:val="32"/>
          <w:lang w:val="en-US" w:eastAsia="zh-CN"/>
        </w:rPr>
        <w:t>平衡、</w:t>
      </w:r>
      <w:r>
        <w:rPr>
          <w:rFonts w:hint="eastAsia" w:ascii="仿宋_GB2312" w:hAnsi="仿宋_GB2312" w:eastAsia="仿宋_GB2312" w:cs="仿宋_GB2312"/>
          <w:sz w:val="32"/>
          <w:szCs w:val="32"/>
        </w:rPr>
        <w:t>经济社会</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，建立健全容量补偿机制，定期公布</w:t>
      </w:r>
      <w:r>
        <w:rPr>
          <w:rFonts w:hint="eastAsia" w:ascii="仿宋_GB2312" w:hAnsi="仿宋_GB2312" w:eastAsia="仿宋_GB2312" w:cs="仿宋_GB2312"/>
          <w:sz w:val="32"/>
          <w:szCs w:val="32"/>
          <w:lang w:val="en-US" w:eastAsia="zh-CN"/>
        </w:rPr>
        <w:t>并适时调整</w:t>
      </w:r>
      <w:r>
        <w:rPr>
          <w:rFonts w:hint="eastAsia" w:ascii="仿宋_GB2312" w:hAnsi="仿宋_GB2312" w:eastAsia="仿宋_GB2312" w:cs="仿宋_GB2312"/>
          <w:sz w:val="32"/>
          <w:szCs w:val="32"/>
        </w:rPr>
        <w:t>容量补偿标准。电网企业配合做好年度系统总容量需求、有效容量系数等评估工作。</w:t>
      </w:r>
    </w:p>
    <w:p w14:paraId="2370E3D7">
      <w:pPr>
        <w:pStyle w:val="3"/>
        <w:keepNext w:val="0"/>
        <w:keepLines w:val="0"/>
        <w:pageBreakBefore w:val="0"/>
        <w:kinsoku/>
        <w:wordWrap/>
        <w:overflowPunct w:val="0"/>
        <w:topLinePunct w:val="0"/>
        <w:autoSpaceDE/>
        <w:autoSpaceDN/>
        <w:bidi w:val="0"/>
        <w:adjustRightInd w:val="0"/>
        <w:snapToGrid w:val="0"/>
        <w:spacing w:after="0"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0"/>
          <w:sz w:val="32"/>
          <w:szCs w:val="32"/>
          <w:lang w:eastAsia="zh-CN"/>
        </w:rPr>
        <w:t>（三）</w:t>
      </w:r>
      <w:r>
        <w:rPr>
          <w:rFonts w:hint="eastAsia" w:ascii="楷体_GB2312" w:hAnsi="楷体_GB2312" w:eastAsia="楷体_GB2312" w:cs="楷体_GB2312"/>
          <w:kern w:val="0"/>
          <w:sz w:val="32"/>
          <w:szCs w:val="32"/>
          <w:lang w:val="en-US" w:eastAsia="zh-CN"/>
        </w:rPr>
        <w:t>进行动态</w:t>
      </w:r>
      <w:r>
        <w:rPr>
          <w:rFonts w:hint="eastAsia" w:ascii="楷体_GB2312" w:hAnsi="楷体_GB2312" w:eastAsia="楷体_GB2312" w:cs="楷体_GB2312"/>
          <w:kern w:val="0"/>
          <w:sz w:val="32"/>
          <w:szCs w:val="32"/>
          <w:lang w:eastAsia="zh-CN"/>
        </w:rPr>
        <w:t>管理。</w:t>
      </w:r>
      <w:r>
        <w:rPr>
          <w:rFonts w:hint="eastAsia" w:ascii="仿宋_GB2312" w:hAnsi="仿宋_GB2312" w:eastAsia="仿宋_GB2312" w:cs="仿宋_GB2312"/>
          <w:sz w:val="32"/>
          <w:szCs w:val="32"/>
          <w:lang w:val="en-US" w:eastAsia="zh-CN"/>
        </w:rPr>
        <w:t>省能源局会同省发展改革委组织</w:t>
      </w:r>
      <w:r>
        <w:rPr>
          <w:rFonts w:hint="eastAsia" w:ascii="仿宋_GB2312" w:hAnsi="仿宋_GB2312" w:eastAsia="仿宋_GB2312" w:cs="仿宋_GB2312"/>
          <w:sz w:val="32"/>
          <w:szCs w:val="32"/>
          <w:lang w:eastAsia="zh-CN"/>
        </w:rPr>
        <w:t>电网企业</w:t>
      </w:r>
      <w:r>
        <w:rPr>
          <w:rFonts w:hint="eastAsia" w:ascii="仿宋_GB2312" w:hAnsi="仿宋_GB2312" w:eastAsia="仿宋_GB2312" w:cs="仿宋_GB2312"/>
          <w:sz w:val="32"/>
          <w:szCs w:val="32"/>
          <w:lang w:val="en-US" w:eastAsia="zh-CN"/>
        </w:rPr>
        <w:t>按电源类型</w:t>
      </w:r>
      <w:r>
        <w:rPr>
          <w:rFonts w:hint="eastAsia" w:ascii="仿宋_GB2312" w:hAnsi="仿宋_GB2312" w:eastAsia="仿宋_GB2312" w:cs="仿宋_GB2312"/>
          <w:sz w:val="32"/>
          <w:szCs w:val="32"/>
          <w:lang w:eastAsia="zh-CN"/>
        </w:rPr>
        <w:t>梳理汇总</w:t>
      </w:r>
      <w:r>
        <w:rPr>
          <w:rFonts w:hint="eastAsia" w:ascii="仿宋_GB2312" w:hAnsi="仿宋_GB2312" w:eastAsia="仿宋_GB2312" w:cs="仿宋_GB2312"/>
          <w:sz w:val="32"/>
          <w:szCs w:val="32"/>
          <w:lang w:val="en-US" w:eastAsia="zh-CN"/>
        </w:rPr>
        <w:t>形成项目清单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适情开展</w:t>
      </w:r>
      <w:r>
        <w:rPr>
          <w:rFonts w:hint="eastAsia" w:ascii="仿宋_GB2312" w:hAnsi="仿宋_GB2312" w:eastAsia="仿宋_GB2312" w:cs="仿宋_GB2312"/>
          <w:sz w:val="32"/>
          <w:szCs w:val="32"/>
          <w:lang w:eastAsia="zh-CN"/>
        </w:rPr>
        <w:t>动态调整，</w:t>
      </w:r>
      <w:r>
        <w:rPr>
          <w:rFonts w:hint="eastAsia" w:ascii="仿宋_GB2312" w:hAnsi="仿宋_GB2312" w:eastAsia="仿宋_GB2312" w:cs="仿宋_GB2312"/>
          <w:sz w:val="32"/>
          <w:szCs w:val="32"/>
          <w:lang w:val="en-US" w:eastAsia="zh-CN"/>
        </w:rPr>
        <w:t>相关情况及时</w:t>
      </w:r>
      <w:r>
        <w:rPr>
          <w:rFonts w:hint="eastAsia" w:ascii="仿宋_GB2312" w:hAnsi="仿宋_GB2312" w:eastAsia="仿宋_GB2312" w:cs="仿宋_GB2312"/>
          <w:sz w:val="32"/>
          <w:szCs w:val="32"/>
          <w:lang w:eastAsia="zh-CN"/>
        </w:rPr>
        <w:t>抄</w:t>
      </w:r>
      <w:r>
        <w:rPr>
          <w:rFonts w:hint="eastAsia" w:ascii="仿宋_GB2312" w:hAnsi="仿宋_GB2312" w:eastAsia="仿宋_GB2312" w:cs="仿宋_GB2312"/>
          <w:sz w:val="32"/>
          <w:szCs w:val="32"/>
          <w:lang w:val="en-US" w:eastAsia="zh-CN"/>
        </w:rPr>
        <w:t>送国家能源局西北监管局</w:t>
      </w:r>
      <w:r>
        <w:rPr>
          <w:rFonts w:hint="eastAsia" w:ascii="仿宋_GB2312" w:hAnsi="仿宋_GB2312" w:eastAsia="仿宋_GB2312" w:cs="仿宋_GB2312"/>
          <w:sz w:val="32"/>
          <w:szCs w:val="32"/>
          <w:lang w:eastAsia="zh-CN"/>
        </w:rPr>
        <w:t>。</w:t>
      </w:r>
    </w:p>
    <w:p w14:paraId="3B468513">
      <w:pPr>
        <w:keepNext w:val="0"/>
        <w:keepLines w:val="0"/>
        <w:pageBreakBefore w:val="0"/>
        <w:kinsoku/>
        <w:wordWrap/>
        <w:topLinePunct w:val="0"/>
        <w:autoSpaceDE/>
        <w:autoSpaceDN/>
        <w:bidi w:val="0"/>
        <w:spacing w:after="0" w:line="576" w:lineRule="exact"/>
        <w:ind w:firstLine="640" w:firstLineChars="200"/>
        <w:jc w:val="both"/>
        <w:textAlignment w:val="auto"/>
        <w:rPr>
          <w:rFonts w:ascii="Times New Roman" w:hAnsi="Times New Roman" w:eastAsia="仿宋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四</w:t>
      </w:r>
      <w:r>
        <w:rPr>
          <w:rFonts w:hint="eastAsia" w:ascii="楷体_GB2312" w:hAnsi="楷体_GB2312" w:eastAsia="楷体_GB2312" w:cs="楷体_GB2312"/>
          <w:kern w:val="0"/>
          <w:sz w:val="32"/>
          <w:szCs w:val="32"/>
        </w:rPr>
        <w:t>）强化市场监管。</w:t>
      </w:r>
      <w:r>
        <w:rPr>
          <w:rFonts w:hint="eastAsia" w:ascii="仿宋_GB2312" w:hAnsi="仿宋_GB2312" w:eastAsia="仿宋_GB2312" w:cs="仿宋_GB2312"/>
          <w:sz w:val="32"/>
          <w:szCs w:val="32"/>
          <w:lang w:val="en-US" w:eastAsia="zh-CN"/>
        </w:rPr>
        <w:t>省发展改革委</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省能源局</w:t>
      </w:r>
      <w:r>
        <w:rPr>
          <w:rFonts w:hint="eastAsia" w:ascii="仿宋_GB2312" w:hAnsi="仿宋_GB2312" w:eastAsia="仿宋_GB2312" w:cs="仿宋_GB2312"/>
          <w:sz w:val="32"/>
          <w:szCs w:val="32"/>
        </w:rPr>
        <w:t>开展容量补偿机制执行情况和电能量市场价格监管，定期</w:t>
      </w:r>
      <w:r>
        <w:rPr>
          <w:rFonts w:hint="eastAsia" w:ascii="仿宋_GB2312" w:hAnsi="仿宋_GB2312" w:eastAsia="仿宋_GB2312" w:cs="仿宋_GB2312"/>
          <w:sz w:val="32"/>
          <w:szCs w:val="32"/>
          <w:lang w:val="en-US" w:eastAsia="zh-CN"/>
        </w:rPr>
        <w:t>不定期</w:t>
      </w:r>
      <w:r>
        <w:rPr>
          <w:rFonts w:hint="eastAsia" w:ascii="仿宋_GB2312" w:hAnsi="仿宋_GB2312" w:eastAsia="仿宋_GB2312" w:cs="仿宋_GB2312"/>
          <w:sz w:val="32"/>
          <w:szCs w:val="32"/>
        </w:rPr>
        <w:t>组织开展电力现货市场仿真，动态监测发电成本回收</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情况。</w:t>
      </w:r>
    </w:p>
    <w:p w14:paraId="59CEB952">
      <w:pPr>
        <w:keepNext w:val="0"/>
        <w:keepLines w:val="0"/>
        <w:pageBreakBefore w:val="0"/>
        <w:kinsoku/>
        <w:wordWrap/>
        <w:topLinePunct w:val="0"/>
        <w:autoSpaceDE/>
        <w:autoSpaceDN/>
        <w:bidi w:val="0"/>
        <w:spacing w:after="0" w:line="576"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五</w:t>
      </w:r>
      <w:r>
        <w:rPr>
          <w:rFonts w:hint="eastAsia" w:ascii="楷体_GB2312" w:hAnsi="楷体_GB2312" w:eastAsia="楷体_GB2312" w:cs="楷体_GB2312"/>
          <w:kern w:val="0"/>
          <w:sz w:val="32"/>
          <w:szCs w:val="32"/>
        </w:rPr>
        <w:t>）加强政策宣贯。</w:t>
      </w:r>
      <w:r>
        <w:rPr>
          <w:rFonts w:hint="eastAsia" w:ascii="仿宋_GB2312" w:hAnsi="仿宋_GB2312" w:eastAsia="仿宋_GB2312" w:cs="仿宋_GB2312"/>
          <w:sz w:val="32"/>
          <w:szCs w:val="32"/>
          <w:lang w:val="en-US" w:eastAsia="zh-CN"/>
        </w:rPr>
        <w:t>省发展改革委</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省能源局</w:t>
      </w:r>
      <w:r>
        <w:rPr>
          <w:rFonts w:hint="eastAsia" w:ascii="仿宋_GB2312" w:hAnsi="仿宋_GB2312" w:eastAsia="仿宋_GB2312" w:cs="仿宋_GB2312"/>
          <w:kern w:val="0"/>
          <w:sz w:val="32"/>
          <w:szCs w:val="32"/>
          <w:lang w:val="en-US" w:eastAsia="zh-CN"/>
        </w:rPr>
        <w:t>等各有关方面，切实加强</w:t>
      </w:r>
      <w:r>
        <w:rPr>
          <w:rFonts w:hint="eastAsia" w:ascii="仿宋_GB2312" w:hAnsi="仿宋_GB2312" w:eastAsia="仿宋_GB2312" w:cs="仿宋_GB2312"/>
          <w:kern w:val="0"/>
          <w:sz w:val="32"/>
          <w:szCs w:val="32"/>
        </w:rPr>
        <w:t>政策解读和宣传引导，积极回应社会关切，</w:t>
      </w:r>
      <w:r>
        <w:rPr>
          <w:rFonts w:hint="eastAsia" w:ascii="仿宋_GB2312" w:hAnsi="仿宋_GB2312" w:eastAsia="仿宋_GB2312" w:cs="仿宋_GB2312"/>
          <w:kern w:val="0"/>
          <w:sz w:val="32"/>
          <w:szCs w:val="32"/>
          <w:lang w:val="en-US" w:eastAsia="zh-CN"/>
        </w:rPr>
        <w:t>及时开展跟踪问效，</w:t>
      </w:r>
      <w:r>
        <w:rPr>
          <w:rFonts w:hint="eastAsia" w:ascii="仿宋_GB2312" w:hAnsi="仿宋_GB2312" w:eastAsia="仿宋_GB2312" w:cs="仿宋_GB2312"/>
          <w:kern w:val="0"/>
          <w:sz w:val="32"/>
          <w:szCs w:val="32"/>
        </w:rPr>
        <w:t>及时</w:t>
      </w:r>
      <w:r>
        <w:rPr>
          <w:rFonts w:hint="eastAsia" w:ascii="仿宋_GB2312" w:hAnsi="仿宋_GB2312" w:eastAsia="仿宋_GB2312" w:cs="仿宋_GB2312"/>
          <w:kern w:val="0"/>
          <w:sz w:val="32"/>
          <w:szCs w:val="32"/>
          <w:lang w:val="en-US" w:eastAsia="zh-CN"/>
        </w:rPr>
        <w:t>解决</w:t>
      </w:r>
      <w:r>
        <w:rPr>
          <w:rFonts w:hint="eastAsia" w:ascii="仿宋_GB2312" w:hAnsi="仿宋_GB2312" w:eastAsia="仿宋_GB2312" w:cs="仿宋_GB2312"/>
          <w:kern w:val="0"/>
          <w:sz w:val="32"/>
          <w:szCs w:val="32"/>
        </w:rPr>
        <w:t>执行</w:t>
      </w:r>
      <w:r>
        <w:rPr>
          <w:rFonts w:hint="eastAsia" w:ascii="仿宋_GB2312" w:hAnsi="仿宋_GB2312" w:eastAsia="仿宋_GB2312" w:cs="仿宋_GB2312"/>
          <w:kern w:val="0"/>
          <w:sz w:val="32"/>
          <w:szCs w:val="32"/>
          <w:lang w:val="en-US" w:eastAsia="zh-CN"/>
        </w:rPr>
        <w:t>过程</w:t>
      </w:r>
      <w:r>
        <w:rPr>
          <w:rFonts w:hint="eastAsia" w:ascii="仿宋_GB2312" w:hAnsi="仿宋_GB2312" w:eastAsia="仿宋_GB2312" w:cs="仿宋_GB2312"/>
          <w:kern w:val="0"/>
          <w:sz w:val="32"/>
          <w:szCs w:val="32"/>
        </w:rPr>
        <w:t>中</w:t>
      </w:r>
      <w:r>
        <w:rPr>
          <w:rFonts w:hint="eastAsia" w:ascii="仿宋_GB2312" w:hAnsi="仿宋_GB2312" w:eastAsia="仿宋_GB2312" w:cs="仿宋_GB2312"/>
          <w:kern w:val="0"/>
          <w:sz w:val="32"/>
          <w:szCs w:val="32"/>
          <w:lang w:val="en-US" w:eastAsia="zh-CN"/>
        </w:rPr>
        <w:t>出现</w:t>
      </w:r>
      <w:r>
        <w:rPr>
          <w:rFonts w:hint="eastAsia" w:ascii="仿宋_GB2312" w:hAnsi="仿宋_GB2312" w:eastAsia="仿宋_GB2312" w:cs="仿宋_GB2312"/>
          <w:kern w:val="0"/>
          <w:sz w:val="32"/>
          <w:szCs w:val="32"/>
        </w:rPr>
        <w:t>的重大问题。</w:t>
      </w:r>
    </w:p>
    <w:p w14:paraId="35958F9F">
      <w:pPr>
        <w:spacing w:after="0" w:line="576" w:lineRule="exact"/>
        <w:ind w:firstLine="640" w:firstLineChars="200"/>
        <w:rPr>
          <w:rFonts w:hint="eastAsia" w:ascii="楷体" w:hAnsi="楷体" w:eastAsia="楷体" w:cs="楷体"/>
          <w:b/>
          <w:bCs/>
          <w:kern w:val="0"/>
          <w:sz w:val="32"/>
          <w:szCs w:val="32"/>
          <w:shd w:val="clear" w:color="auto" w:fill="FFFFFF"/>
          <w14:ligatures w14:val="none"/>
        </w:rPr>
      </w:pPr>
      <w:r>
        <w:rPr>
          <w:rFonts w:hint="eastAsia" w:ascii="仿宋_GB2312" w:hAnsi="仿宋_GB2312" w:eastAsia="仿宋_GB2312" w:cs="仿宋_GB2312"/>
          <w:sz w:val="32"/>
          <w:szCs w:val="32"/>
          <w:shd w:val="clear" w:color="auto" w:fill="FFFFFF"/>
          <w:lang w:val="en-US" w:eastAsia="zh-CN"/>
        </w:rPr>
        <w:t>本办法相关规定</w:t>
      </w:r>
      <w:r>
        <w:rPr>
          <w:rFonts w:hint="eastAsia" w:ascii="仿宋_GB2312" w:hAnsi="仿宋_GB2312" w:eastAsia="仿宋_GB2312" w:cs="仿宋_GB2312"/>
          <w:sz w:val="32"/>
          <w:szCs w:val="32"/>
          <w:lang w:bidi="ar"/>
        </w:rPr>
        <w:t>如遇国家政策调整，按国家政策执行。</w:t>
      </w:r>
      <w:r>
        <w:rPr>
          <w:rFonts w:hint="eastAsia" w:ascii="仿宋_GB2312" w:hAnsi="仿宋_GB2312" w:eastAsia="仿宋_GB2312" w:cs="仿宋_GB2312"/>
          <w:sz w:val="32"/>
          <w:szCs w:val="32"/>
          <w:shd w:val="clear" w:color="auto" w:fill="FFFFFF"/>
        </w:rPr>
        <w:t>省内现行政策规定与本</w:t>
      </w:r>
      <w:r>
        <w:rPr>
          <w:rFonts w:hint="eastAsia" w:ascii="仿宋_GB2312" w:hAnsi="仿宋_GB2312" w:eastAsia="仿宋_GB2312" w:cs="仿宋_GB2312"/>
          <w:sz w:val="32"/>
          <w:szCs w:val="32"/>
          <w:shd w:val="clear" w:color="auto" w:fill="FFFFFF"/>
          <w:lang w:val="en-US" w:eastAsia="zh-CN"/>
        </w:rPr>
        <w:t>办法</w:t>
      </w:r>
      <w:r>
        <w:rPr>
          <w:rFonts w:hint="eastAsia" w:ascii="仿宋_GB2312" w:hAnsi="仿宋_GB2312" w:eastAsia="仿宋_GB2312" w:cs="仿宋_GB2312"/>
          <w:sz w:val="32"/>
          <w:szCs w:val="32"/>
          <w:shd w:val="clear" w:color="auto" w:fill="FFFFFF"/>
        </w:rPr>
        <w:t>不符的，以本</w:t>
      </w:r>
      <w:r>
        <w:rPr>
          <w:rFonts w:hint="eastAsia" w:ascii="仿宋_GB2312" w:hAnsi="仿宋_GB2312" w:eastAsia="仿宋_GB2312" w:cs="仿宋_GB2312"/>
          <w:sz w:val="32"/>
          <w:szCs w:val="32"/>
          <w:shd w:val="clear" w:color="auto" w:fill="FFFFFF"/>
          <w:lang w:val="en-US" w:eastAsia="zh-CN"/>
        </w:rPr>
        <w:t>办法</w:t>
      </w:r>
      <w:r>
        <w:rPr>
          <w:rFonts w:hint="eastAsia" w:ascii="仿宋_GB2312" w:hAnsi="仿宋_GB2312" w:eastAsia="仿宋_GB2312" w:cs="仿宋_GB2312"/>
          <w:sz w:val="32"/>
          <w:szCs w:val="32"/>
          <w:shd w:val="clear" w:color="auto" w:fill="FFFFFF"/>
        </w:rPr>
        <w:t>为准。</w:t>
      </w:r>
    </w:p>
    <w:p w14:paraId="01B95831">
      <w:pPr>
        <w:spacing w:after="0" w:line="576"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w:t>
      </w:r>
      <w:r>
        <w:rPr>
          <w:rFonts w:hint="eastAsia" w:ascii="仿宋_GB2312" w:hAnsi="仿宋_GB2312" w:eastAsia="仿宋_GB2312" w:cs="仿宋_GB2312"/>
          <w:sz w:val="32"/>
          <w:szCs w:val="32"/>
          <w:lang w:val="en-US" w:eastAsia="zh-CN" w:bidi="ar"/>
        </w:rPr>
        <w:t>办法</w:t>
      </w:r>
      <w:r>
        <w:rPr>
          <w:rFonts w:hint="eastAsia" w:ascii="仿宋_GB2312" w:hAnsi="仿宋_GB2312" w:eastAsia="仿宋_GB2312" w:cs="仿宋_GB2312"/>
          <w:sz w:val="32"/>
          <w:szCs w:val="32"/>
          <w:lang w:bidi="ar"/>
        </w:rPr>
        <w:t>由省发展改革委</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省能源局按职</w:t>
      </w:r>
      <w:r>
        <w:rPr>
          <w:rFonts w:hint="eastAsia" w:ascii="仿宋_GB2312" w:hAnsi="仿宋_GB2312" w:eastAsia="仿宋_GB2312" w:cs="仿宋_GB2312"/>
          <w:sz w:val="32"/>
          <w:szCs w:val="32"/>
          <w:lang w:val="en-US" w:eastAsia="zh-CN" w:bidi="ar"/>
        </w:rPr>
        <w:t>责</w:t>
      </w:r>
      <w:r>
        <w:rPr>
          <w:rFonts w:hint="eastAsia" w:ascii="仿宋_GB2312" w:hAnsi="仿宋_GB2312" w:eastAsia="仿宋_GB2312" w:cs="仿宋_GB2312"/>
          <w:sz w:val="32"/>
          <w:szCs w:val="32"/>
          <w:lang w:bidi="ar"/>
        </w:rPr>
        <w:t>分工解释。</w:t>
      </w:r>
    </w:p>
    <w:p w14:paraId="45BEB7A5">
      <w:pPr>
        <w:spacing w:after="0" w:line="576"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w:t>
      </w:r>
      <w:r>
        <w:rPr>
          <w:rFonts w:hint="eastAsia" w:ascii="仿宋_GB2312" w:hAnsi="仿宋_GB2312" w:eastAsia="仿宋_GB2312" w:cs="仿宋_GB2312"/>
          <w:sz w:val="32"/>
          <w:szCs w:val="32"/>
          <w:shd w:val="clear" w:color="auto" w:fill="FFFFFF"/>
          <w:lang w:val="en-US" w:eastAsia="zh-CN"/>
        </w:rPr>
        <w:t>办法</w:t>
      </w:r>
      <w:r>
        <w:rPr>
          <w:rFonts w:hint="eastAsia" w:ascii="仿宋_GB2312" w:hAnsi="仿宋_GB2312" w:eastAsia="仿宋_GB2312" w:cs="仿宋_GB2312"/>
          <w:sz w:val="32"/>
          <w:szCs w:val="32"/>
          <w:shd w:val="clear" w:color="auto" w:fill="FFFFFF"/>
        </w:rPr>
        <w:t>自</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年  月  日起施行</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有效期2年</w:t>
      </w:r>
      <w:r>
        <w:rPr>
          <w:rFonts w:hint="eastAsia" w:ascii="仿宋_GB2312" w:hAnsi="仿宋_GB2312" w:eastAsia="仿宋_GB2312" w:cs="仿宋_GB2312"/>
          <w:sz w:val="32"/>
          <w:szCs w:val="32"/>
          <w:shd w:val="clear" w:color="auto" w:fill="FFFFFF"/>
        </w:rPr>
        <w:t>。</w:t>
      </w:r>
    </w:p>
    <w:p w14:paraId="175C3010"/>
    <w:p w14:paraId="25318A98"/>
    <w:p w14:paraId="411D825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D20CC"/>
    <w:rsid w:val="0E5D2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Body Text"/>
    <w:basedOn w:val="1"/>
    <w:next w:val="1"/>
    <w:qFormat/>
    <w:uiPriority w:val="0"/>
    <w:pPr>
      <w:ind w:left="40"/>
    </w:pPr>
    <w:rPr>
      <w:rFonts w:ascii="Calibri" w:hAnsi="Calibri" w:eastAsia="宋体" w:cs="Times New Roman"/>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2025-09-08T15:25:00Z</dcterms:created>
  <dc:creator>nanpeng</dc:creator>
  <cp:lastModifiedBy>nanpeng</cp:lastModifiedBy>
  <dcterms:modified xsi:type="dcterms:W3CDTF">2025-09-08T15:25:36Z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6841E3456DAB443EA34E4ED4E66819F1_11</vt:lpwstr>
  </property>
  <property fmtid="{D5CDD505-2E9C-101B-9397-08002B2CF9AE}" pid="4" name="KSOTemplateDocerSaveRecord">
    <vt:lpwstr>eyJoZGlkIjoiZTA4NzIyN2MxYTlmMzQ1NGE2MjU5NWRkMjhlOGMxYTAifQ==</vt:lpwstr>
  </property>
</Properties>
</file>