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73" w:rsidRDefault="00192173" w:rsidP="00192173">
      <w:pPr>
        <w:adjustRightInd w:val="0"/>
        <w:snapToGrid w:val="0"/>
        <w:spacing w:line="576" w:lineRule="exact"/>
        <w:rPr>
          <w:rFonts w:ascii="黑体" w:eastAsia="黑体" w:hAnsi="黑体" w:cs="黑体"/>
          <w:szCs w:val="32"/>
        </w:rPr>
      </w:pPr>
      <w:r>
        <w:rPr>
          <w:rFonts w:ascii="黑体" w:eastAsia="黑体" w:hAnsi="黑体" w:cs="黑体" w:hint="eastAsia"/>
          <w:szCs w:val="32"/>
        </w:rPr>
        <w:t>附件1</w:t>
      </w:r>
    </w:p>
    <w:p w:rsidR="00192173" w:rsidRDefault="00192173" w:rsidP="00192173">
      <w:pPr>
        <w:adjustRightInd w:val="0"/>
        <w:snapToGrid w:val="0"/>
        <w:spacing w:line="576" w:lineRule="exact"/>
        <w:jc w:val="center"/>
        <w:rPr>
          <w:rFonts w:eastAsia="方正小标宋简体"/>
          <w:sz w:val="44"/>
          <w:szCs w:val="44"/>
        </w:rPr>
      </w:pPr>
    </w:p>
    <w:p w:rsidR="00192173" w:rsidRDefault="00192173" w:rsidP="00192173">
      <w:pPr>
        <w:adjustRightInd w:val="0"/>
        <w:snapToGrid w:val="0"/>
        <w:spacing w:line="576" w:lineRule="exact"/>
        <w:jc w:val="center"/>
        <w:rPr>
          <w:rFonts w:eastAsia="方正小标宋简体"/>
          <w:sz w:val="44"/>
          <w:szCs w:val="44"/>
        </w:rPr>
      </w:pPr>
      <w:bookmarkStart w:id="0" w:name="_GoBack"/>
      <w:r>
        <w:rPr>
          <w:rFonts w:eastAsia="方正小标宋简体" w:hint="eastAsia"/>
          <w:sz w:val="44"/>
          <w:szCs w:val="44"/>
        </w:rPr>
        <w:t>青海省新能源可持续发展价格结算机制细则</w:t>
      </w:r>
    </w:p>
    <w:p w:rsidR="00192173" w:rsidRDefault="00192173" w:rsidP="00192173">
      <w:pPr>
        <w:pStyle w:val="a4"/>
        <w:spacing w:line="576" w:lineRule="exact"/>
        <w:ind w:firstLine="640"/>
        <w:rPr>
          <w:sz w:val="32"/>
          <w:szCs w:val="32"/>
        </w:rPr>
      </w:pPr>
    </w:p>
    <w:bookmarkEnd w:id="0"/>
    <w:p w:rsidR="00192173" w:rsidRDefault="00192173" w:rsidP="00192173">
      <w:pPr>
        <w:pStyle w:val="a4"/>
        <w:spacing w:line="576" w:lineRule="exact"/>
        <w:ind w:firstLineChars="0" w:firstLine="0"/>
        <w:jc w:val="center"/>
        <w:rPr>
          <w:rFonts w:ascii="黑体" w:eastAsia="黑体" w:hAnsi="黑体"/>
          <w:sz w:val="32"/>
          <w:szCs w:val="32"/>
        </w:rPr>
      </w:pPr>
      <w:r>
        <w:rPr>
          <w:rFonts w:ascii="黑体" w:eastAsia="黑体" w:hAnsi="黑体" w:hint="eastAsia"/>
          <w:sz w:val="32"/>
          <w:szCs w:val="32"/>
        </w:rPr>
        <w:t>第一章  总则</w:t>
      </w:r>
    </w:p>
    <w:p w:rsidR="00192173" w:rsidRDefault="00192173" w:rsidP="00192173">
      <w:pPr>
        <w:spacing w:line="576"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第一条 【制定依据】</w:t>
      </w:r>
      <w:r>
        <w:rPr>
          <w:rFonts w:ascii="仿宋_GB2312" w:hAnsi="仿宋_GB2312" w:cs="仿宋_GB2312" w:hint="eastAsia"/>
          <w:szCs w:val="32"/>
          <w:lang w:bidi="ar"/>
        </w:rPr>
        <w:t>为加快构建新型电力系统、健全绿色低碳发展机制，推动全省新能源高质量发展，助力国家清洁能源产业高地建设，</w:t>
      </w:r>
      <w:r>
        <w:rPr>
          <w:rFonts w:ascii="仿宋_GB2312" w:hAnsi="仿宋_GB2312" w:cs="仿宋_GB2312" w:hint="eastAsia"/>
          <w:color w:val="000000"/>
          <w:szCs w:val="32"/>
        </w:rPr>
        <w:t>根据国家发展改革委、国家能源局《关于深化新能源上网电价市场化改革 促进新能源高质量发展的通知》（</w:t>
      </w:r>
      <w:proofErr w:type="gramStart"/>
      <w:r>
        <w:rPr>
          <w:rFonts w:ascii="仿宋_GB2312" w:hAnsi="仿宋_GB2312" w:cs="仿宋_GB2312" w:hint="eastAsia"/>
          <w:color w:val="000000"/>
          <w:szCs w:val="32"/>
        </w:rPr>
        <w:t>发改价格</w:t>
      </w:r>
      <w:proofErr w:type="gramEnd"/>
      <w:r>
        <w:rPr>
          <w:rFonts w:ascii="仿宋_GB2312" w:hAnsi="仿宋_GB2312" w:cs="仿宋_GB2312" w:hint="eastAsia"/>
          <w:color w:val="000000"/>
          <w:szCs w:val="32"/>
        </w:rPr>
        <w:t>〔2025〕136号），《关于印发〈电力市场计量结算基本规则〉的通知》(</w:t>
      </w:r>
      <w:proofErr w:type="gramStart"/>
      <w:r>
        <w:rPr>
          <w:rFonts w:ascii="仿宋_GB2312" w:hAnsi="仿宋_GB2312" w:cs="仿宋_GB2312" w:hint="eastAsia"/>
          <w:color w:val="000000"/>
          <w:szCs w:val="32"/>
        </w:rPr>
        <w:t>发改能源规</w:t>
      </w:r>
      <w:proofErr w:type="gramEnd"/>
      <w:r>
        <w:rPr>
          <w:rFonts w:ascii="仿宋_GB2312" w:hAnsi="仿宋_GB2312" w:cs="仿宋_GB2312" w:hint="eastAsia"/>
          <w:color w:val="000000"/>
          <w:szCs w:val="32"/>
        </w:rPr>
        <w:t>〔2025〕976号）</w:t>
      </w:r>
      <w:r>
        <w:rPr>
          <w:rFonts w:ascii="仿宋_GB2312" w:hAnsi="仿宋_GB2312" w:cs="仿宋_GB2312" w:hint="eastAsia"/>
          <w:szCs w:val="32"/>
          <w:lang w:bidi="ar"/>
        </w:rPr>
        <w:t>等文件要求，结合省情实际，制定本细则。</w:t>
      </w:r>
    </w:p>
    <w:p w:rsidR="00192173" w:rsidRDefault="00192173" w:rsidP="00192173">
      <w:pPr>
        <w:spacing w:line="576" w:lineRule="exact"/>
        <w:ind w:firstLineChars="200" w:firstLine="640"/>
        <w:rPr>
          <w:rFonts w:ascii="仿宋_GB2312" w:hAnsi="仿宋_GB2312" w:cs="仿宋_GB2312"/>
          <w:color w:val="0000FF"/>
          <w:szCs w:val="32"/>
          <w:lang w:bidi="ar"/>
        </w:rPr>
      </w:pPr>
      <w:r>
        <w:rPr>
          <w:rFonts w:ascii="楷体_GB2312" w:eastAsia="楷体_GB2312" w:hAnsi="楷体_GB2312" w:cs="楷体_GB2312" w:hint="eastAsia"/>
          <w:kern w:val="0"/>
          <w:szCs w:val="32"/>
          <w:shd w:val="clear" w:color="auto" w:fill="FFFFFF"/>
        </w:rPr>
        <w:t>第二条 【实施范围】</w:t>
      </w:r>
      <w:r>
        <w:rPr>
          <w:rFonts w:ascii="仿宋_GB2312" w:hAnsi="仿宋_GB2312" w:cs="仿宋_GB2312" w:hint="eastAsia"/>
          <w:szCs w:val="32"/>
          <w:lang w:bidi="ar"/>
        </w:rPr>
        <w:t>本细则适用于青海省行政区域内存量和增量新能源项目（风电、太阳能发电，下同）。其中，存量项目是指2025年6月1日前投产的项目，增量项目是指2025年6月1日起投产的项目。</w:t>
      </w:r>
    </w:p>
    <w:p w:rsidR="00192173" w:rsidRDefault="00192173" w:rsidP="00192173">
      <w:pPr>
        <w:spacing w:line="576" w:lineRule="exact"/>
        <w:ind w:firstLineChars="200" w:firstLine="640"/>
        <w:rPr>
          <w:szCs w:val="32"/>
          <w:lang w:bidi="ar"/>
        </w:rPr>
      </w:pPr>
      <w:r>
        <w:rPr>
          <w:rFonts w:ascii="楷体_GB2312" w:eastAsia="楷体_GB2312" w:hAnsi="楷体_GB2312" w:cs="楷体_GB2312" w:hint="eastAsia"/>
          <w:kern w:val="0"/>
          <w:szCs w:val="32"/>
          <w:shd w:val="clear" w:color="auto" w:fill="FFFFFF"/>
        </w:rPr>
        <w:t>第三条 【结算机制】</w:t>
      </w:r>
      <w:r>
        <w:rPr>
          <w:rFonts w:ascii="仿宋_GB2312" w:hAnsi="仿宋_GB2312" w:cs="仿宋_GB2312" w:hint="eastAsia"/>
          <w:szCs w:val="32"/>
          <w:lang w:bidi="ar"/>
        </w:rPr>
        <w:t>青海省内新能源项目参与电力市场交易后，在市场外建立新能源可持续发展价格结算机制。纳入机制的新能源电量（简称“机制电量”）按同类项目市场化交易均价与纳入机制的新能源电价水平（简称“机制电价”）由电网企业开展差价结算，差价电费纳入省内系统运行费。</w:t>
      </w:r>
    </w:p>
    <w:p w:rsidR="00192173" w:rsidRDefault="00192173" w:rsidP="00192173">
      <w:pPr>
        <w:spacing w:line="576"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第四条 【投产认定】</w:t>
      </w:r>
      <w:r>
        <w:rPr>
          <w:rFonts w:hint="eastAsia"/>
          <w:szCs w:val="32"/>
          <w:lang w:bidi="ar"/>
        </w:rPr>
        <w:t>“</w:t>
      </w:r>
      <w:r>
        <w:rPr>
          <w:rFonts w:ascii="仿宋_GB2312" w:hAnsi="仿宋_GB2312" w:cs="仿宋_GB2312" w:hint="eastAsia"/>
          <w:szCs w:val="32"/>
          <w:lang w:bidi="ar"/>
        </w:rPr>
        <w:t>新能源发电项目投产”是指新能源发电项目按照项目核准（备案）容量全部建成并网。新能</w:t>
      </w:r>
      <w:r>
        <w:rPr>
          <w:rFonts w:ascii="仿宋_GB2312" w:hAnsi="仿宋_GB2312" w:cs="仿宋_GB2312" w:hint="eastAsia"/>
          <w:szCs w:val="32"/>
          <w:lang w:bidi="ar"/>
        </w:rPr>
        <w:lastRenderedPageBreak/>
        <w:t>源项目按投产时间分类进行认定。集中式光伏、集中式风电、光热发电项目以全容量首次并网时间为准，具体参照调度机构启动试运行记录中记载的时间。履行程序分期（批）并网的项目，应在核准（备案）文件中明确分期（批）建设规模及内容，或分别办理核准（备案）文件，实际投产规模与核准（备案）文件中分期（批）建设内容一致的，视为当期（批）项目按照核准（备案）文件全容量并网。分布式光</w:t>
      </w:r>
      <w:proofErr w:type="gramStart"/>
      <w:r>
        <w:rPr>
          <w:rFonts w:ascii="仿宋_GB2312" w:hAnsi="仿宋_GB2312" w:cs="仿宋_GB2312" w:hint="eastAsia"/>
          <w:szCs w:val="32"/>
          <w:lang w:bidi="ar"/>
        </w:rPr>
        <w:t>伏项目</w:t>
      </w:r>
      <w:proofErr w:type="gramEnd"/>
      <w:r>
        <w:rPr>
          <w:rFonts w:ascii="仿宋_GB2312" w:hAnsi="仿宋_GB2312" w:cs="仿宋_GB2312" w:hint="eastAsia"/>
          <w:szCs w:val="32"/>
          <w:lang w:bidi="ar"/>
        </w:rPr>
        <w:t>以电网企业营销系统全容量并网送电时间为准。分散式风</w:t>
      </w:r>
      <w:proofErr w:type="gramStart"/>
      <w:r>
        <w:rPr>
          <w:rFonts w:ascii="仿宋_GB2312" w:hAnsi="仿宋_GB2312" w:cs="仿宋_GB2312" w:hint="eastAsia"/>
          <w:szCs w:val="32"/>
          <w:lang w:bidi="ar"/>
        </w:rPr>
        <w:t>电按照</w:t>
      </w:r>
      <w:proofErr w:type="gramEnd"/>
      <w:r>
        <w:rPr>
          <w:rFonts w:ascii="仿宋_GB2312" w:hAnsi="仿宋_GB2312" w:cs="仿宋_GB2312" w:hint="eastAsia"/>
          <w:szCs w:val="32"/>
          <w:lang w:bidi="ar"/>
        </w:rPr>
        <w:t>并网调度协议记载的信息为准。电力业务许可证或电网企业营销系统并网容量、分散式风电并网调度协议记载容量小于核准（备案）容量，视作项目未全容量并网，需完成全部核准（备案）容量投产或进行核准（备案）容量变更后方可认定为全容量并网。</w:t>
      </w:r>
    </w:p>
    <w:p w:rsidR="00192173" w:rsidRDefault="00192173" w:rsidP="00192173">
      <w:pPr>
        <w:pStyle w:val="a4"/>
        <w:spacing w:line="576" w:lineRule="exact"/>
        <w:ind w:firstLine="640"/>
        <w:rPr>
          <w:rFonts w:ascii="黑体" w:eastAsia="黑体" w:hAnsi="黑体"/>
          <w:sz w:val="32"/>
          <w:szCs w:val="32"/>
        </w:rPr>
      </w:pPr>
      <w:r>
        <w:rPr>
          <w:rFonts w:ascii="楷体_GB2312" w:eastAsia="楷体_GB2312" w:hAnsi="楷体_GB2312" w:cs="楷体_GB2312" w:hint="eastAsia"/>
          <w:kern w:val="0"/>
          <w:sz w:val="32"/>
          <w:szCs w:val="32"/>
          <w:shd w:val="clear" w:color="auto" w:fill="FFFFFF"/>
          <w:lang w:val="en-US"/>
        </w:rPr>
        <w:t>第五条 【职责分工】</w:t>
      </w:r>
      <w:r>
        <w:rPr>
          <w:rFonts w:ascii="仿宋_GB2312" w:eastAsia="仿宋_GB2312" w:hAnsi="仿宋_GB2312" w:cs="仿宋_GB2312" w:hint="eastAsia"/>
          <w:sz w:val="32"/>
          <w:szCs w:val="32"/>
          <w:lang w:bidi="ar"/>
        </w:rPr>
        <w:t>省发展改革委会同国家能源局西北监管局、省能源局、</w:t>
      </w:r>
      <w:r>
        <w:rPr>
          <w:rFonts w:ascii="仿宋_GB2312" w:eastAsia="仿宋_GB2312" w:hAnsi="仿宋_GB2312" w:cs="仿宋_GB2312" w:hint="eastAsia"/>
          <w:sz w:val="32"/>
          <w:szCs w:val="32"/>
          <w:lang w:val="en-US" w:bidi="ar"/>
        </w:rPr>
        <w:t>电网企业及交易机构</w:t>
      </w:r>
      <w:r>
        <w:rPr>
          <w:rFonts w:ascii="仿宋_GB2312" w:eastAsia="仿宋_GB2312" w:hAnsi="仿宋_GB2312" w:cs="仿宋_GB2312" w:hint="eastAsia"/>
          <w:sz w:val="32"/>
          <w:szCs w:val="32"/>
          <w:lang w:bidi="ar"/>
        </w:rPr>
        <w:t>负责本细则的实施工作。省发展改革委会同省能源局按照国家深化新能源上网电价市场化改革相关要求，结合青海实际制定配套政策，核定新能源项目机制电价水平，明确机制电量规模和执行期限，确定纳入机制电量执行范围的存量项目清单，确保与电力市场规则有序衔接。国家能源局西北监管局负责</w:t>
      </w:r>
      <w:r>
        <w:rPr>
          <w:rFonts w:ascii="仿宋_GB2312" w:eastAsia="仿宋_GB2312" w:hAnsi="仿宋_GB2312" w:cs="仿宋_GB2312" w:hint="eastAsia"/>
          <w:sz w:val="32"/>
          <w:szCs w:val="32"/>
          <w:lang w:val="en-US" w:bidi="ar"/>
        </w:rPr>
        <w:t>开展</w:t>
      </w:r>
      <w:r>
        <w:rPr>
          <w:rFonts w:ascii="仿宋_GB2312" w:eastAsia="仿宋_GB2312" w:hAnsi="仿宋_GB2312" w:cs="仿宋_GB2312" w:hint="eastAsia"/>
          <w:sz w:val="32"/>
          <w:szCs w:val="32"/>
          <w:lang w:bidi="ar"/>
        </w:rPr>
        <w:t>电力市场运行监管。电网企业负责提供新能源存量项目清单、组织增量项目竞价、</w:t>
      </w:r>
      <w:r>
        <w:rPr>
          <w:rFonts w:ascii="仿宋_GB2312" w:eastAsia="仿宋_GB2312" w:hAnsi="仿宋_GB2312" w:cs="仿宋_GB2312" w:hint="eastAsia"/>
          <w:sz w:val="32"/>
          <w:szCs w:val="32"/>
          <w:lang w:val="en-US" w:bidi="ar"/>
        </w:rPr>
        <w:t>做好</w:t>
      </w:r>
      <w:r>
        <w:rPr>
          <w:rFonts w:ascii="仿宋_GB2312" w:eastAsia="仿宋_GB2312" w:hAnsi="仿宋_GB2312" w:cs="仿宋_GB2312" w:hint="eastAsia"/>
          <w:sz w:val="32"/>
          <w:szCs w:val="32"/>
          <w:lang w:bidi="ar"/>
        </w:rPr>
        <w:t>新能源项目机制电价差价协议签订及费用结算</w:t>
      </w:r>
      <w:r>
        <w:rPr>
          <w:rFonts w:ascii="仿宋_GB2312" w:eastAsia="仿宋_GB2312" w:hAnsi="仿宋_GB2312" w:cs="仿宋_GB2312" w:hint="eastAsia"/>
          <w:sz w:val="32"/>
          <w:szCs w:val="32"/>
          <w:lang w:val="en-US" w:bidi="ar"/>
        </w:rPr>
        <w:t>工作。</w:t>
      </w:r>
      <w:r>
        <w:rPr>
          <w:rFonts w:ascii="仿宋_GB2312" w:eastAsia="仿宋_GB2312" w:hAnsi="仿宋_GB2312" w:cs="仿宋_GB2312" w:hint="eastAsia"/>
          <w:sz w:val="32"/>
          <w:szCs w:val="32"/>
          <w:lang w:bidi="ar"/>
        </w:rPr>
        <w:t>电力交易机构负责月度同类型电源市场交易均价计算、相关信息披露</w:t>
      </w:r>
      <w:r>
        <w:rPr>
          <w:rFonts w:ascii="仿宋_GB2312" w:eastAsia="仿宋_GB2312" w:hAnsi="仿宋_GB2312" w:cs="仿宋_GB2312" w:hint="eastAsia"/>
          <w:sz w:val="32"/>
          <w:szCs w:val="32"/>
          <w:lang w:val="en-US" w:bidi="ar"/>
        </w:rPr>
        <w:t>等</w:t>
      </w:r>
      <w:r>
        <w:rPr>
          <w:rFonts w:ascii="仿宋_GB2312" w:eastAsia="仿宋_GB2312" w:hAnsi="仿宋_GB2312" w:cs="仿宋_GB2312" w:hint="eastAsia"/>
          <w:sz w:val="32"/>
          <w:szCs w:val="32"/>
          <w:lang w:bidi="ar"/>
        </w:rPr>
        <w:t>工作。</w:t>
      </w:r>
      <w:r>
        <w:rPr>
          <w:rFonts w:ascii="仿宋_GB2312" w:eastAsia="仿宋_GB2312" w:hAnsi="仿宋_GB2312" w:cs="仿宋_GB2312" w:hint="eastAsia"/>
          <w:sz w:val="32"/>
          <w:szCs w:val="32"/>
          <w:lang w:val="en-US" w:bidi="ar"/>
        </w:rPr>
        <w:t>各相关市场</w:t>
      </w:r>
      <w:r>
        <w:rPr>
          <w:rFonts w:ascii="仿宋_GB2312" w:eastAsia="仿宋_GB2312" w:hAnsi="仿宋_GB2312" w:cs="仿宋_GB2312" w:hint="eastAsia"/>
          <w:sz w:val="32"/>
          <w:szCs w:val="32"/>
          <w:lang w:bidi="ar"/>
        </w:rPr>
        <w:t>主体</w:t>
      </w:r>
      <w:r>
        <w:rPr>
          <w:rFonts w:ascii="仿宋_GB2312" w:eastAsia="仿宋_GB2312" w:hAnsi="仿宋_GB2312" w:cs="仿宋_GB2312" w:hint="eastAsia"/>
          <w:sz w:val="32"/>
          <w:szCs w:val="32"/>
          <w:lang w:val="en-US" w:bidi="ar"/>
        </w:rPr>
        <w:t>应当</w:t>
      </w:r>
      <w:r>
        <w:rPr>
          <w:rFonts w:ascii="仿宋_GB2312" w:eastAsia="仿宋_GB2312" w:hAnsi="仿宋_GB2312" w:cs="仿宋_GB2312" w:hint="eastAsia"/>
          <w:sz w:val="32"/>
          <w:szCs w:val="32"/>
          <w:lang w:bidi="ar"/>
        </w:rPr>
        <w:t>按政策要</w:t>
      </w:r>
      <w:r>
        <w:rPr>
          <w:rFonts w:ascii="仿宋_GB2312" w:eastAsia="仿宋_GB2312" w:hAnsi="仿宋_GB2312" w:cs="仿宋_GB2312" w:hint="eastAsia"/>
          <w:sz w:val="32"/>
          <w:szCs w:val="32"/>
          <w:lang w:bidi="ar"/>
        </w:rPr>
        <w:lastRenderedPageBreak/>
        <w:t>求提供真实、必要的资料，</w:t>
      </w:r>
      <w:r>
        <w:rPr>
          <w:rFonts w:ascii="仿宋_GB2312" w:eastAsia="仿宋_GB2312" w:hAnsi="仿宋_GB2312" w:cs="仿宋_GB2312" w:hint="eastAsia"/>
          <w:sz w:val="32"/>
          <w:szCs w:val="32"/>
          <w:lang w:val="en-US" w:bidi="ar"/>
        </w:rPr>
        <w:t>依法依规</w:t>
      </w:r>
      <w:r>
        <w:rPr>
          <w:rFonts w:ascii="仿宋_GB2312" w:eastAsia="仿宋_GB2312" w:hAnsi="仿宋_GB2312" w:cs="仿宋_GB2312" w:hint="eastAsia"/>
          <w:sz w:val="32"/>
          <w:szCs w:val="32"/>
          <w:lang w:bidi="ar"/>
        </w:rPr>
        <w:t>参与</w:t>
      </w:r>
      <w:r>
        <w:rPr>
          <w:rFonts w:ascii="仿宋_GB2312" w:eastAsia="仿宋_GB2312" w:hAnsi="仿宋_GB2312" w:cs="仿宋_GB2312" w:hint="eastAsia"/>
          <w:sz w:val="32"/>
          <w:szCs w:val="32"/>
          <w:lang w:val="en-US" w:bidi="ar"/>
        </w:rPr>
        <w:t>电力市场交易</w:t>
      </w:r>
      <w:r>
        <w:rPr>
          <w:rFonts w:ascii="仿宋_GB2312" w:eastAsia="仿宋_GB2312" w:hAnsi="仿宋_GB2312" w:cs="仿宋_GB2312" w:hint="eastAsia"/>
          <w:sz w:val="32"/>
          <w:szCs w:val="32"/>
          <w:lang w:bidi="ar"/>
        </w:rPr>
        <w:t>。</w:t>
      </w:r>
    </w:p>
    <w:p w:rsidR="00192173" w:rsidRDefault="00192173" w:rsidP="00192173">
      <w:pPr>
        <w:pStyle w:val="a4"/>
        <w:spacing w:line="576" w:lineRule="exact"/>
        <w:ind w:firstLineChars="0" w:firstLine="0"/>
        <w:jc w:val="center"/>
        <w:rPr>
          <w:rFonts w:ascii="黑体" w:eastAsia="黑体" w:hAnsi="黑体"/>
          <w:sz w:val="32"/>
          <w:szCs w:val="32"/>
        </w:rPr>
      </w:pPr>
      <w:r>
        <w:rPr>
          <w:rFonts w:ascii="黑体" w:eastAsia="黑体" w:hAnsi="黑体" w:hint="eastAsia"/>
          <w:sz w:val="32"/>
          <w:szCs w:val="32"/>
        </w:rPr>
        <w:t>第二章  机制电量和电价</w:t>
      </w:r>
    </w:p>
    <w:p w:rsidR="00192173" w:rsidRDefault="00192173" w:rsidP="00192173">
      <w:pPr>
        <w:spacing w:line="550" w:lineRule="exact"/>
        <w:ind w:firstLineChars="200" w:firstLine="640"/>
        <w:rPr>
          <w:rFonts w:ascii="仿宋_GB2312" w:hAnsi="仿宋_GB2312" w:cs="仿宋_GB2312"/>
          <w:szCs w:val="32"/>
          <w:lang w:bidi="ar"/>
        </w:rPr>
      </w:pPr>
      <w:bookmarkStart w:id="1" w:name="OLE_LINK2"/>
      <w:r>
        <w:rPr>
          <w:rFonts w:ascii="楷体_GB2312" w:eastAsia="楷体_GB2312" w:hAnsi="楷体_GB2312" w:cs="楷体_GB2312" w:hint="eastAsia"/>
          <w:kern w:val="0"/>
          <w:szCs w:val="32"/>
          <w:shd w:val="clear" w:color="auto" w:fill="FFFFFF"/>
        </w:rPr>
        <w:t>第六条</w:t>
      </w:r>
      <w:bookmarkEnd w:id="1"/>
      <w:r>
        <w:rPr>
          <w:rFonts w:ascii="楷体_GB2312" w:eastAsia="楷体_GB2312" w:hAnsi="楷体_GB2312" w:cs="楷体_GB2312" w:hint="eastAsia"/>
          <w:kern w:val="0"/>
          <w:szCs w:val="32"/>
          <w:shd w:val="clear" w:color="auto" w:fill="FFFFFF"/>
        </w:rPr>
        <w:t xml:space="preserve"> 【存量项目】</w:t>
      </w:r>
      <w:bookmarkStart w:id="2" w:name="_Hlk206667117"/>
      <w:r>
        <w:rPr>
          <w:rFonts w:ascii="仿宋_GB2312" w:hAnsi="仿宋_GB2312" w:cs="仿宋_GB2312" w:hint="eastAsia"/>
          <w:szCs w:val="32"/>
          <w:lang w:bidi="ar"/>
        </w:rPr>
        <w:t>新能源上网电价市场化改革前具有保障性质的存量项目纳入我省存量项目机制电量规模。为保障平稳过渡，对2021年1月1日以后投产且</w:t>
      </w:r>
      <w:r>
        <w:rPr>
          <w:rFonts w:ascii="仿宋_GB2312" w:hAnsi="仿宋_GB2312" w:cs="仿宋_GB2312" w:hint="eastAsia"/>
          <w:color w:val="000000"/>
          <w:szCs w:val="32"/>
        </w:rPr>
        <w:t>不带新能源补贴</w:t>
      </w:r>
      <w:r>
        <w:rPr>
          <w:rFonts w:ascii="仿宋_GB2312" w:hAnsi="仿宋_GB2312" w:cs="仿宋_GB2312" w:hint="eastAsia"/>
          <w:szCs w:val="32"/>
          <w:lang w:bidi="ar"/>
        </w:rPr>
        <w:t>的风电和光伏项目，适度给予机制电量进行保障，</w:t>
      </w:r>
      <w:proofErr w:type="gramStart"/>
      <w:r>
        <w:rPr>
          <w:rFonts w:ascii="仿宋_GB2312" w:hAnsi="仿宋_GB2312" w:cs="仿宋_GB2312" w:hint="eastAsia"/>
          <w:szCs w:val="32"/>
          <w:lang w:bidi="ar"/>
        </w:rPr>
        <w:t>按装</w:t>
      </w:r>
      <w:proofErr w:type="gramEnd"/>
      <w:r>
        <w:rPr>
          <w:rFonts w:ascii="仿宋_GB2312" w:hAnsi="仿宋_GB2312" w:cs="仿宋_GB2312" w:hint="eastAsia"/>
          <w:szCs w:val="32"/>
          <w:lang w:bidi="ar"/>
        </w:rPr>
        <w:t>机容量等比例分配。机制电价水平衔接现行电价水平。</w:t>
      </w:r>
    </w:p>
    <w:p w:rsidR="00192173" w:rsidRDefault="00192173" w:rsidP="00192173">
      <w:pPr>
        <w:spacing w:line="550" w:lineRule="exact"/>
        <w:ind w:firstLineChars="200" w:firstLine="640"/>
        <w:rPr>
          <w:rFonts w:ascii="仿宋_GB2312" w:hAnsi="仿宋_GB2312" w:cs="仿宋_GB2312"/>
          <w:szCs w:val="32"/>
          <w:lang w:bidi="ar"/>
        </w:rPr>
      </w:pPr>
      <w:bookmarkStart w:id="3" w:name="OLE_LINK5"/>
      <w:bookmarkEnd w:id="2"/>
      <w:r>
        <w:rPr>
          <w:rFonts w:ascii="楷体_GB2312" w:eastAsia="楷体_GB2312" w:hAnsi="楷体_GB2312" w:cs="楷体_GB2312" w:hint="eastAsia"/>
          <w:kern w:val="0"/>
          <w:szCs w:val="32"/>
          <w:shd w:val="clear" w:color="auto" w:fill="FFFFFF"/>
        </w:rPr>
        <w:t>第七条</w:t>
      </w:r>
      <w:bookmarkEnd w:id="3"/>
      <w:r>
        <w:rPr>
          <w:rFonts w:ascii="楷体_GB2312" w:eastAsia="楷体_GB2312" w:hAnsi="楷体_GB2312" w:cs="楷体_GB2312" w:hint="eastAsia"/>
          <w:kern w:val="0"/>
          <w:szCs w:val="32"/>
          <w:shd w:val="clear" w:color="auto" w:fill="FFFFFF"/>
        </w:rPr>
        <w:t xml:space="preserve"> 【增量项目】</w:t>
      </w:r>
      <w:r>
        <w:rPr>
          <w:rFonts w:ascii="仿宋_GB2312" w:hAnsi="仿宋_GB2312" w:cs="仿宋_GB2312" w:hint="eastAsia"/>
          <w:szCs w:val="32"/>
          <w:lang w:bidi="ar"/>
        </w:rPr>
        <w:t>首年新增纳入机制的电量规模通过现有新能源非市场化比例与促进新能源企业投资等因素综合确定。后续年份电量规模综合年度非水可再生能源电力消纳责任权重完成情况、用户承受能力和支持新能源发展需要确定。纳入机制电量的项目、电量规模和电价水平通过市场化竞争的方式形成。</w:t>
      </w:r>
    </w:p>
    <w:p w:rsidR="00192173" w:rsidRDefault="00192173" w:rsidP="00192173">
      <w:pPr>
        <w:pStyle w:val="a4"/>
        <w:spacing w:line="550" w:lineRule="exact"/>
        <w:ind w:firstLineChars="0" w:firstLine="0"/>
        <w:jc w:val="center"/>
        <w:rPr>
          <w:rFonts w:ascii="黑体" w:eastAsia="黑体" w:hAnsi="黑体"/>
          <w:sz w:val="32"/>
          <w:szCs w:val="32"/>
        </w:rPr>
      </w:pPr>
    </w:p>
    <w:p w:rsidR="00192173" w:rsidRDefault="00192173" w:rsidP="00192173">
      <w:pPr>
        <w:pStyle w:val="a4"/>
        <w:spacing w:line="550" w:lineRule="exact"/>
        <w:ind w:firstLineChars="0" w:firstLine="0"/>
        <w:jc w:val="center"/>
        <w:rPr>
          <w:rFonts w:ascii="黑体" w:eastAsia="黑体" w:hAnsi="黑体"/>
          <w:sz w:val="32"/>
          <w:szCs w:val="32"/>
        </w:rPr>
      </w:pPr>
      <w:r>
        <w:rPr>
          <w:rFonts w:ascii="黑体" w:eastAsia="黑体" w:hAnsi="黑体" w:hint="eastAsia"/>
          <w:sz w:val="32"/>
          <w:szCs w:val="32"/>
        </w:rPr>
        <w:t>第三章  结算方式</w:t>
      </w:r>
    </w:p>
    <w:p w:rsidR="00192173" w:rsidRDefault="00192173" w:rsidP="00192173">
      <w:pPr>
        <w:adjustRightInd w:val="0"/>
        <w:snapToGrid w:val="0"/>
        <w:spacing w:line="550"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第八条 【执行电量】</w:t>
      </w:r>
      <w:r>
        <w:rPr>
          <w:rFonts w:ascii="仿宋_GB2312" w:hAnsi="仿宋_GB2312" w:cs="仿宋_GB2312" w:hint="eastAsia"/>
          <w:szCs w:val="32"/>
          <w:lang w:bidi="ar"/>
        </w:rPr>
        <w:t>单个项目每年纳入机制的电量按竞价通知明确的比例分解至月度，实际上网电量低于当月分解电量的，按实际上网电量结算，并在年内滚动清算。当月累计已结算机制电量达到年度机制电量规模的，当月超出部分及后续</w:t>
      </w:r>
      <w:proofErr w:type="gramStart"/>
      <w:r>
        <w:rPr>
          <w:rFonts w:ascii="仿宋_GB2312" w:hAnsi="仿宋_GB2312" w:cs="仿宋_GB2312" w:hint="eastAsia"/>
          <w:szCs w:val="32"/>
          <w:lang w:bidi="ar"/>
        </w:rPr>
        <w:t>月不再</w:t>
      </w:r>
      <w:proofErr w:type="gramEnd"/>
      <w:r>
        <w:rPr>
          <w:rFonts w:ascii="仿宋_GB2312" w:hAnsi="仿宋_GB2312" w:cs="仿宋_GB2312" w:hint="eastAsia"/>
          <w:szCs w:val="32"/>
          <w:lang w:bidi="ar"/>
        </w:rPr>
        <w:t>执行机制电价。至年底仍未达到年度机制电量规模的，剩余部分电量不再执行机制电价，且不进行跨年滚动。</w:t>
      </w:r>
    </w:p>
    <w:p w:rsidR="00192173" w:rsidRDefault="00192173" w:rsidP="00192173">
      <w:pPr>
        <w:adjustRightInd w:val="0"/>
        <w:snapToGrid w:val="0"/>
        <w:spacing w:line="550"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第九条 【差价结算】</w:t>
      </w:r>
      <w:r>
        <w:rPr>
          <w:rFonts w:ascii="仿宋_GB2312" w:hAnsi="仿宋_GB2312" w:cs="仿宋_GB2312" w:hint="eastAsia"/>
          <w:szCs w:val="32"/>
          <w:lang w:bidi="ar"/>
        </w:rPr>
        <w:t>纳入机制的电量，由电网企业每月</w:t>
      </w:r>
      <w:proofErr w:type="gramStart"/>
      <w:r>
        <w:rPr>
          <w:rFonts w:ascii="仿宋_GB2312" w:hAnsi="仿宋_GB2312" w:cs="仿宋_GB2312" w:hint="eastAsia"/>
          <w:szCs w:val="32"/>
          <w:lang w:bidi="ar"/>
        </w:rPr>
        <w:t>按机制</w:t>
      </w:r>
      <w:proofErr w:type="gramEnd"/>
      <w:r>
        <w:rPr>
          <w:rFonts w:ascii="仿宋_GB2312" w:hAnsi="仿宋_GB2312" w:cs="仿宋_GB2312" w:hint="eastAsia"/>
          <w:szCs w:val="32"/>
          <w:lang w:bidi="ar"/>
        </w:rPr>
        <w:t>电价开展差价结算，低于或高于市场交易均价的差价电费纳入系统运行费，由省内全体工商业用户公平分摊分享。</w:t>
      </w:r>
      <w:r>
        <w:rPr>
          <w:rFonts w:ascii="仿宋_GB2312" w:hAnsi="仿宋_GB2312" w:cs="仿宋_GB2312" w:hint="eastAsia"/>
          <w:szCs w:val="32"/>
          <w:lang w:bidi="ar"/>
        </w:rPr>
        <w:lastRenderedPageBreak/>
        <w:t>其他形式的差价结算按照国家发展改革委有关要求执行。</w:t>
      </w:r>
    </w:p>
    <w:p w:rsidR="00192173" w:rsidRDefault="00192173" w:rsidP="00192173">
      <w:pPr>
        <w:adjustRightInd w:val="0"/>
        <w:snapToGrid w:val="0"/>
        <w:spacing w:line="550" w:lineRule="exact"/>
        <w:ind w:firstLineChars="200" w:firstLine="640"/>
        <w:rPr>
          <w:rFonts w:ascii="仿宋_GB2312" w:hAnsi="仿宋_GB2312" w:cs="仿宋_GB2312"/>
          <w:szCs w:val="32"/>
          <w:lang w:bidi="ar"/>
        </w:rPr>
      </w:pPr>
      <w:r>
        <w:rPr>
          <w:rFonts w:ascii="仿宋_GB2312" w:hAnsi="仿宋_GB2312" w:cs="仿宋_GB2312" w:hint="eastAsia"/>
          <w:szCs w:val="32"/>
          <w:lang w:bidi="ar"/>
        </w:rPr>
        <w:t>计算公式：机制电量差价</w:t>
      </w:r>
      <w:r>
        <w:rPr>
          <w:rFonts w:ascii="仿宋_GB2312" w:hAnsi="仿宋_GB2312" w:cs="仿宋_GB2312" w:hint="eastAsia"/>
          <w:szCs w:val="32"/>
          <w:lang w:eastAsia="zh" w:bidi="ar"/>
        </w:rPr>
        <w:t>电费</w:t>
      </w:r>
      <w:r>
        <w:rPr>
          <w:rFonts w:ascii="仿宋_GB2312" w:hAnsi="仿宋_GB2312" w:cs="仿宋_GB2312" w:hint="eastAsia"/>
          <w:szCs w:val="32"/>
          <w:lang w:bidi="ar"/>
        </w:rPr>
        <w:t>=机制电量×（机制电价-同类型新能源市场交易均价）</w:t>
      </w:r>
    </w:p>
    <w:p w:rsidR="00192173" w:rsidRDefault="00192173" w:rsidP="00192173">
      <w:pPr>
        <w:adjustRightInd w:val="0"/>
        <w:snapToGrid w:val="0"/>
        <w:spacing w:line="550" w:lineRule="exact"/>
        <w:ind w:firstLineChars="200" w:firstLine="640"/>
        <w:rPr>
          <w:rFonts w:ascii="仿宋_GB2312" w:hAnsi="仿宋_GB2312" w:cs="仿宋_GB2312"/>
          <w:szCs w:val="32"/>
          <w:lang w:bidi="ar"/>
        </w:rPr>
      </w:pPr>
      <w:r>
        <w:rPr>
          <w:rFonts w:ascii="仿宋_GB2312" w:hAnsi="仿宋_GB2312" w:cs="仿宋_GB2312" w:hint="eastAsia"/>
          <w:szCs w:val="32"/>
          <w:lang w:bidi="ar"/>
        </w:rPr>
        <w:t>同类型新能源市场交易均价：电力现货市场未连续运行前（含现货试结算期间），按照省内当月（含年度、多</w:t>
      </w:r>
      <w:proofErr w:type="gramStart"/>
      <w:r>
        <w:rPr>
          <w:rFonts w:ascii="仿宋_GB2312" w:hAnsi="仿宋_GB2312" w:cs="仿宋_GB2312" w:hint="eastAsia"/>
          <w:szCs w:val="32"/>
          <w:lang w:bidi="ar"/>
        </w:rPr>
        <w:t>月分</w:t>
      </w:r>
      <w:proofErr w:type="gramEnd"/>
      <w:r>
        <w:rPr>
          <w:rFonts w:ascii="仿宋_GB2312" w:hAnsi="仿宋_GB2312" w:cs="仿宋_GB2312" w:hint="eastAsia"/>
          <w:szCs w:val="32"/>
          <w:lang w:bidi="ar"/>
        </w:rPr>
        <w:t>解电量）发电侧中长期交易同类项目加权平均价确定。电力现货市场连续运行后，按照青海电力现货市场当月发电侧实时市场同类项目加权平均价确定。具体市场交易均价由电力交易机构按月发布。</w:t>
      </w:r>
    </w:p>
    <w:p w:rsidR="00192173" w:rsidRDefault="00192173" w:rsidP="00192173">
      <w:pPr>
        <w:adjustRightInd w:val="0"/>
        <w:snapToGrid w:val="0"/>
        <w:spacing w:line="550" w:lineRule="exact"/>
        <w:ind w:firstLineChars="200" w:firstLine="640"/>
        <w:rPr>
          <w:rFonts w:ascii="仿宋_GB2312" w:hAnsi="仿宋_GB2312" w:cs="仿宋_GB2312"/>
          <w:szCs w:val="32"/>
          <w:lang w:bidi="ar"/>
        </w:rPr>
      </w:pPr>
      <w:bookmarkStart w:id="4" w:name="OLE_LINK6"/>
      <w:r>
        <w:rPr>
          <w:rFonts w:ascii="楷体_GB2312" w:eastAsia="楷体_GB2312" w:hAnsi="楷体_GB2312" w:cs="楷体_GB2312" w:hint="eastAsia"/>
          <w:kern w:val="0"/>
          <w:szCs w:val="32"/>
          <w:shd w:val="clear" w:color="auto" w:fill="FFFFFF"/>
        </w:rPr>
        <w:t>第十条</w:t>
      </w:r>
      <w:bookmarkEnd w:id="4"/>
      <w:r>
        <w:rPr>
          <w:rFonts w:ascii="楷体_GB2312" w:eastAsia="楷体_GB2312" w:hAnsi="楷体_GB2312" w:cs="楷体_GB2312" w:hint="eastAsia"/>
          <w:kern w:val="0"/>
          <w:szCs w:val="32"/>
          <w:shd w:val="clear" w:color="auto" w:fill="FFFFFF"/>
        </w:rPr>
        <w:t xml:space="preserve"> 【结算周期】</w:t>
      </w:r>
      <w:r>
        <w:rPr>
          <w:rFonts w:ascii="仿宋_GB2312" w:hAnsi="仿宋_GB2312" w:cs="仿宋_GB2312" w:hint="eastAsia"/>
          <w:szCs w:val="32"/>
          <w:lang w:bidi="ar"/>
        </w:rPr>
        <w:t>新能源机制电价差价电费以自然月为周期，纳入新能源项目当月上网电费。电网企业应当按照相关结算要求，在上网电费结算单中详细列明差价协议电量、机制电价、月度市场交易均价及差价电费结算金额，开展电费结算、支付。</w:t>
      </w:r>
    </w:p>
    <w:p w:rsidR="00192173" w:rsidRDefault="00192173" w:rsidP="00192173">
      <w:pPr>
        <w:adjustRightInd w:val="0"/>
        <w:snapToGrid w:val="0"/>
        <w:spacing w:line="550" w:lineRule="exact"/>
        <w:jc w:val="center"/>
        <w:rPr>
          <w:rFonts w:ascii="黑体" w:eastAsia="黑体" w:hAnsi="黑体"/>
          <w:szCs w:val="32"/>
        </w:rPr>
      </w:pPr>
    </w:p>
    <w:p w:rsidR="00192173" w:rsidRDefault="00192173" w:rsidP="00192173">
      <w:pPr>
        <w:adjustRightInd w:val="0"/>
        <w:snapToGrid w:val="0"/>
        <w:spacing w:line="550" w:lineRule="exact"/>
        <w:jc w:val="center"/>
        <w:rPr>
          <w:rFonts w:ascii="黑体" w:eastAsia="黑体" w:hAnsi="黑体"/>
          <w:szCs w:val="32"/>
        </w:rPr>
      </w:pPr>
      <w:r>
        <w:rPr>
          <w:rFonts w:ascii="黑体" w:eastAsia="黑体" w:hAnsi="黑体" w:hint="eastAsia"/>
          <w:szCs w:val="32"/>
        </w:rPr>
        <w:t>第四章  执行期限</w:t>
      </w:r>
    </w:p>
    <w:p w:rsidR="00192173" w:rsidRDefault="00192173" w:rsidP="00192173">
      <w:pPr>
        <w:adjustRightInd w:val="0"/>
        <w:snapToGrid w:val="0"/>
        <w:spacing w:line="550"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第十一条 【存量项目】</w:t>
      </w:r>
      <w:bookmarkStart w:id="5" w:name="_Hlk206677632"/>
      <w:bookmarkStart w:id="6" w:name="_Hlk206667062"/>
      <w:r>
        <w:rPr>
          <w:rFonts w:ascii="仿宋_GB2312" w:hAnsi="仿宋_GB2312" w:cs="仿宋_GB2312" w:hint="eastAsia"/>
          <w:szCs w:val="32"/>
          <w:lang w:bidi="ar"/>
        </w:rPr>
        <w:t>具有保障性质的</w:t>
      </w:r>
      <w:proofErr w:type="gramStart"/>
      <w:r>
        <w:rPr>
          <w:rFonts w:ascii="仿宋_GB2312" w:hAnsi="仿宋_GB2312" w:cs="仿宋_GB2312" w:hint="eastAsia"/>
          <w:szCs w:val="32"/>
          <w:lang w:bidi="ar"/>
        </w:rPr>
        <w:t>存量光</w:t>
      </w:r>
      <w:proofErr w:type="gramEnd"/>
      <w:r>
        <w:rPr>
          <w:rFonts w:ascii="仿宋_GB2312" w:hAnsi="仿宋_GB2312" w:cs="仿宋_GB2312" w:hint="eastAsia"/>
          <w:szCs w:val="32"/>
          <w:lang w:bidi="ar"/>
        </w:rPr>
        <w:t>伏、风电项目，按照政策开始执行时剩余全生命周期合理利用小时数对应年份与投产满20年对应年份两者较早者确定。</w:t>
      </w:r>
      <w:r>
        <w:rPr>
          <w:rFonts w:ascii="仿宋_GB2312" w:hAnsi="仿宋_GB2312" w:cs="仿宋_GB2312" w:hint="eastAsia"/>
          <w:color w:val="000000"/>
          <w:szCs w:val="32"/>
        </w:rPr>
        <w:t>不带新能源补贴的</w:t>
      </w:r>
      <w:r>
        <w:rPr>
          <w:rFonts w:ascii="仿宋_GB2312" w:hAnsi="仿宋_GB2312" w:cs="仿宋_GB2312" w:hint="eastAsia"/>
          <w:szCs w:val="32"/>
          <w:lang w:bidi="ar"/>
        </w:rPr>
        <w:t>光伏、风</w:t>
      </w:r>
      <w:proofErr w:type="gramStart"/>
      <w:r>
        <w:rPr>
          <w:rFonts w:ascii="仿宋_GB2312" w:hAnsi="仿宋_GB2312" w:cs="仿宋_GB2312" w:hint="eastAsia"/>
          <w:szCs w:val="32"/>
          <w:lang w:bidi="ar"/>
        </w:rPr>
        <w:t>电项目</w:t>
      </w:r>
      <w:proofErr w:type="gramEnd"/>
      <w:r>
        <w:rPr>
          <w:rFonts w:ascii="仿宋_GB2312" w:hAnsi="仿宋_GB2312" w:cs="仿宋_GB2312" w:hint="eastAsia"/>
          <w:szCs w:val="32"/>
          <w:lang w:bidi="ar"/>
        </w:rPr>
        <w:t>执行期6年，自2026年1月1日起计。光热项目执行期按投产满25年确定。执行期限到期后，新能源项目对应的机制电量规模自动从全省机制电量规模移出。</w:t>
      </w:r>
    </w:p>
    <w:p w:rsidR="00192173" w:rsidRDefault="00192173" w:rsidP="00192173">
      <w:pPr>
        <w:adjustRightInd w:val="0"/>
        <w:snapToGrid w:val="0"/>
        <w:spacing w:line="550" w:lineRule="exact"/>
        <w:ind w:firstLineChars="200" w:firstLine="640"/>
        <w:rPr>
          <w:rFonts w:ascii="仿宋_GB2312" w:hAnsi="仿宋_GB2312" w:cs="仿宋_GB2312"/>
          <w:szCs w:val="32"/>
          <w:lang w:bidi="ar"/>
        </w:rPr>
      </w:pPr>
      <w:bookmarkStart w:id="7" w:name="OLE_LINK12"/>
      <w:bookmarkEnd w:id="5"/>
      <w:bookmarkEnd w:id="6"/>
      <w:r>
        <w:rPr>
          <w:rFonts w:ascii="楷体_GB2312" w:eastAsia="楷体_GB2312" w:hAnsi="楷体_GB2312" w:cs="楷体_GB2312" w:hint="eastAsia"/>
          <w:kern w:val="0"/>
          <w:szCs w:val="32"/>
          <w:shd w:val="clear" w:color="auto" w:fill="FFFFFF"/>
        </w:rPr>
        <w:t>第十二条</w:t>
      </w:r>
      <w:bookmarkEnd w:id="7"/>
      <w:r>
        <w:rPr>
          <w:rFonts w:ascii="楷体_GB2312" w:eastAsia="楷体_GB2312" w:hAnsi="楷体_GB2312" w:cs="楷体_GB2312" w:hint="eastAsia"/>
          <w:kern w:val="0"/>
          <w:szCs w:val="32"/>
          <w:shd w:val="clear" w:color="auto" w:fill="FFFFFF"/>
        </w:rPr>
        <w:t xml:space="preserve"> 【增量项目】</w:t>
      </w:r>
      <w:r>
        <w:rPr>
          <w:rFonts w:ascii="仿宋_GB2312" w:hAnsi="仿宋_GB2312" w:cs="仿宋_GB2312" w:hint="eastAsia"/>
          <w:szCs w:val="32"/>
          <w:lang w:bidi="ar"/>
        </w:rPr>
        <w:t>增量新能源项目机制电价执行期限按照同类项目回收初始投资的平均期限等因素确定，在每</w:t>
      </w:r>
      <w:r>
        <w:rPr>
          <w:rFonts w:ascii="仿宋_GB2312" w:hAnsi="仿宋_GB2312" w:cs="仿宋_GB2312" w:hint="eastAsia"/>
          <w:szCs w:val="32"/>
          <w:lang w:bidi="ar"/>
        </w:rPr>
        <w:lastRenderedPageBreak/>
        <w:t>年竞价通知中发布。</w:t>
      </w:r>
    </w:p>
    <w:p w:rsidR="00192173" w:rsidRDefault="00192173" w:rsidP="00192173">
      <w:pPr>
        <w:pStyle w:val="a3"/>
        <w:spacing w:line="550"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第十三条 【容量变更】</w:t>
      </w:r>
      <w:r>
        <w:rPr>
          <w:rFonts w:ascii="仿宋_GB2312" w:hAnsi="仿宋_GB2312" w:cs="仿宋_GB2312" w:hint="eastAsia"/>
          <w:szCs w:val="32"/>
          <w:lang w:bidi="ar"/>
        </w:rPr>
        <w:t>机制电价执行期内的新能源项目通过改造升级增容的，改造升级工期纳入机制电价执行期限，改造升级完成后，年度机制电量规模不作调增。减少装机容量的，按减</w:t>
      </w:r>
      <w:proofErr w:type="gramStart"/>
      <w:r>
        <w:rPr>
          <w:rFonts w:ascii="仿宋_GB2312" w:hAnsi="仿宋_GB2312" w:cs="仿宋_GB2312" w:hint="eastAsia"/>
          <w:szCs w:val="32"/>
          <w:lang w:bidi="ar"/>
        </w:rPr>
        <w:t>容比例</w:t>
      </w:r>
      <w:proofErr w:type="gramEnd"/>
      <w:r>
        <w:rPr>
          <w:rFonts w:ascii="仿宋_GB2312" w:hAnsi="仿宋_GB2312" w:cs="仿宋_GB2312" w:hint="eastAsia"/>
          <w:szCs w:val="32"/>
          <w:lang w:bidi="ar"/>
        </w:rPr>
        <w:t>扣除机制电量。机制电量规模或经营主体发生变更的，应与电网企业重新签订差价协议。</w:t>
      </w:r>
    </w:p>
    <w:p w:rsidR="00192173" w:rsidRDefault="00192173" w:rsidP="00192173">
      <w:pPr>
        <w:pStyle w:val="a3"/>
        <w:spacing w:line="550"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第十四条 【退出机制】</w:t>
      </w:r>
      <w:r>
        <w:rPr>
          <w:rFonts w:ascii="仿宋_GB2312" w:hAnsi="仿宋_GB2312" w:cs="仿宋_GB2312" w:hint="eastAsia"/>
          <w:szCs w:val="32"/>
          <w:lang w:bidi="ar"/>
        </w:rPr>
        <w:t>新能源项目在机制电价执行期限内，可向省发展改革委申请退出机制或减少机制电量。退出机制的，经同意后次月起不再执行机制电价；减少机制电量的，需在每年差价协议续签30日前提出申请，批准后由电网企业完成协议签约调整，自下一年度1月1日起按照调整后的差价协议执行，减少的机制电量不再纳入后续机制电量执行范围。</w:t>
      </w:r>
    </w:p>
    <w:p w:rsidR="00192173" w:rsidRDefault="00192173" w:rsidP="00192173">
      <w:pPr>
        <w:spacing w:line="550"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第十五条 【信息报送】</w:t>
      </w:r>
      <w:r>
        <w:rPr>
          <w:rFonts w:ascii="仿宋_GB2312" w:hAnsi="仿宋_GB2312" w:cs="仿宋_GB2312" w:hint="eastAsia"/>
          <w:szCs w:val="32"/>
          <w:lang w:bidi="ar"/>
        </w:rPr>
        <w:t>电网企业完成月度机制电量差价电费结算后，应按月跟踪、动态调整当年所有参与差价结算的新能源项目年度剩余机制电量，根据省发展改革委要求，按需做好信息报送。</w:t>
      </w:r>
    </w:p>
    <w:p w:rsidR="00192173" w:rsidRDefault="00192173" w:rsidP="00192173">
      <w:pPr>
        <w:spacing w:line="550" w:lineRule="exact"/>
        <w:jc w:val="center"/>
        <w:rPr>
          <w:rFonts w:ascii="黑体" w:eastAsia="黑体" w:hAnsi="黑体"/>
          <w:szCs w:val="32"/>
        </w:rPr>
      </w:pPr>
    </w:p>
    <w:p w:rsidR="00192173" w:rsidRDefault="00192173" w:rsidP="00192173">
      <w:pPr>
        <w:spacing w:line="550" w:lineRule="exact"/>
        <w:jc w:val="center"/>
        <w:rPr>
          <w:rFonts w:ascii="黑体" w:eastAsia="黑体" w:hAnsi="黑体"/>
          <w:szCs w:val="32"/>
        </w:rPr>
      </w:pPr>
      <w:r>
        <w:rPr>
          <w:rFonts w:ascii="黑体" w:eastAsia="黑体" w:hAnsi="黑体" w:hint="eastAsia"/>
          <w:szCs w:val="32"/>
        </w:rPr>
        <w:t>第五章  附则</w:t>
      </w:r>
    </w:p>
    <w:p w:rsidR="00192173" w:rsidRDefault="00192173" w:rsidP="00192173">
      <w:pPr>
        <w:spacing w:line="550" w:lineRule="exact"/>
        <w:ind w:firstLineChars="200" w:firstLine="640"/>
        <w:rPr>
          <w:rFonts w:ascii="楷体" w:eastAsia="楷体" w:hAnsi="楷体" w:cs="楷体"/>
          <w:b/>
          <w:bCs/>
          <w:kern w:val="0"/>
          <w:szCs w:val="32"/>
          <w:shd w:val="clear" w:color="auto" w:fill="FFFFFF"/>
        </w:rPr>
      </w:pPr>
      <w:r>
        <w:rPr>
          <w:rFonts w:ascii="楷体_GB2312" w:eastAsia="楷体_GB2312" w:hAnsi="楷体_GB2312" w:cs="楷体_GB2312" w:hint="eastAsia"/>
          <w:kern w:val="0"/>
          <w:szCs w:val="32"/>
          <w:shd w:val="clear" w:color="auto" w:fill="FFFFFF"/>
        </w:rPr>
        <w:t>第十六条</w:t>
      </w:r>
      <w:r>
        <w:rPr>
          <w:rFonts w:ascii="仿宋_GB2312" w:hAnsi="仿宋_GB2312" w:cs="仿宋_GB2312" w:hint="eastAsia"/>
          <w:szCs w:val="32"/>
          <w:shd w:val="clear" w:color="auto" w:fill="FFFFFF"/>
        </w:rPr>
        <w:t xml:space="preserve"> 本细则相关规定</w:t>
      </w:r>
      <w:r>
        <w:rPr>
          <w:rFonts w:ascii="仿宋_GB2312" w:hAnsi="仿宋_GB2312" w:cs="仿宋_GB2312" w:hint="eastAsia"/>
          <w:szCs w:val="32"/>
          <w:lang w:bidi="ar"/>
        </w:rPr>
        <w:t>如遇国家政策调整，按国家政策执行。</w:t>
      </w:r>
      <w:r>
        <w:rPr>
          <w:rFonts w:ascii="仿宋_GB2312" w:hAnsi="仿宋_GB2312" w:cs="仿宋_GB2312" w:hint="eastAsia"/>
          <w:szCs w:val="32"/>
          <w:shd w:val="clear" w:color="auto" w:fill="FFFFFF"/>
        </w:rPr>
        <w:t>省内现行政策规定与本细则不符的，以本细则为准。</w:t>
      </w:r>
    </w:p>
    <w:p w:rsidR="00192173" w:rsidRDefault="00192173" w:rsidP="00192173">
      <w:pPr>
        <w:spacing w:line="550" w:lineRule="exact"/>
        <w:ind w:firstLineChars="200" w:firstLine="640"/>
        <w:rPr>
          <w:rFonts w:ascii="仿宋_GB2312" w:hAnsi="仿宋_GB2312" w:cs="仿宋_GB2312"/>
          <w:szCs w:val="32"/>
          <w:lang w:bidi="ar"/>
        </w:rPr>
      </w:pPr>
      <w:r>
        <w:rPr>
          <w:rFonts w:ascii="楷体_GB2312" w:eastAsia="楷体_GB2312" w:hAnsi="楷体_GB2312" w:cs="楷体_GB2312" w:hint="eastAsia"/>
          <w:kern w:val="0"/>
          <w:szCs w:val="32"/>
          <w:shd w:val="clear" w:color="auto" w:fill="FFFFFF"/>
        </w:rPr>
        <w:t>第十七条</w:t>
      </w:r>
      <w:r>
        <w:rPr>
          <w:rFonts w:ascii="楷体" w:eastAsia="楷体" w:hAnsi="楷体" w:cs="楷体" w:hint="eastAsia"/>
          <w:b/>
          <w:bCs/>
          <w:kern w:val="0"/>
          <w:szCs w:val="32"/>
          <w:shd w:val="clear" w:color="auto" w:fill="FFFFFF"/>
        </w:rPr>
        <w:t xml:space="preserve"> </w:t>
      </w:r>
      <w:r>
        <w:rPr>
          <w:rFonts w:ascii="仿宋_GB2312" w:hAnsi="仿宋_GB2312" w:cs="仿宋_GB2312" w:hint="eastAsia"/>
          <w:szCs w:val="32"/>
          <w:lang w:bidi="ar"/>
        </w:rPr>
        <w:t>本细则由省发展改革委、国家能源局西北监管局、省能源局按职责分工解释。</w:t>
      </w:r>
    </w:p>
    <w:sectPr w:rsidR="00192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61C8B"/>
    <w:multiLevelType w:val="singleLevel"/>
    <w:tmpl w:val="7E461C8B"/>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3"/>
    <w:rsid w:val="00192173"/>
    <w:rsid w:val="009D06B1"/>
    <w:rsid w:val="00E2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74840-1B8B-4D2A-907A-21B60CF3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17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192173"/>
  </w:style>
  <w:style w:type="character" w:customStyle="1" w:styleId="Char">
    <w:name w:val="正文文本 Char"/>
    <w:basedOn w:val="a0"/>
    <w:link w:val="a3"/>
    <w:rsid w:val="00192173"/>
    <w:rPr>
      <w:rFonts w:ascii="Times New Roman" w:eastAsia="仿宋_GB2312" w:hAnsi="Times New Roman" w:cs="Times New Roman"/>
      <w:sz w:val="32"/>
      <w:szCs w:val="24"/>
    </w:rPr>
  </w:style>
  <w:style w:type="paragraph" w:styleId="a4">
    <w:name w:val="List Paragraph"/>
    <w:basedOn w:val="a"/>
    <w:qFormat/>
    <w:rsid w:val="00192173"/>
    <w:pPr>
      <w:ind w:firstLineChars="200" w:firstLine="420"/>
    </w:pPr>
    <w:rPr>
      <w:rFonts w:ascii="Calibri" w:eastAsia="宋体" w:hAnsi="Calibri"/>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400</Words>
  <Characters>2286</Characters>
  <Application>Microsoft Office Word</Application>
  <DocSecurity>0</DocSecurity>
  <Lines>19</Lines>
  <Paragraphs>5</Paragraphs>
  <ScaleCrop>false</ScaleCrop>
  <Company>contost</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信息资源开发部</dc:creator>
  <cp:keywords/>
  <dc:description/>
  <cp:lastModifiedBy>信息资源开发部</cp:lastModifiedBy>
  <cp:revision>1</cp:revision>
  <dcterms:created xsi:type="dcterms:W3CDTF">2025-10-09T03:42:00Z</dcterms:created>
  <dcterms:modified xsi:type="dcterms:W3CDTF">2025-10-09T05:06:00Z</dcterms:modified>
</cp:coreProperties>
</file>