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4C" w:rsidRDefault="005E484C" w:rsidP="005E484C">
      <w:pPr>
        <w:adjustRightInd w:val="0"/>
        <w:snapToGrid w:val="0"/>
        <w:spacing w:line="576" w:lineRule="exact"/>
        <w:rPr>
          <w:rFonts w:ascii="仿宋_GB2312"/>
          <w:color w:val="000000"/>
          <w:szCs w:val="32"/>
        </w:rPr>
      </w:pPr>
      <w:r>
        <w:rPr>
          <w:rFonts w:ascii="黑体" w:eastAsia="黑体" w:hAnsi="黑体" w:cs="黑体" w:hint="eastAsia"/>
          <w:szCs w:val="32"/>
        </w:rPr>
        <w:t>附件2</w:t>
      </w:r>
    </w:p>
    <w:p w:rsidR="005E484C" w:rsidRDefault="005E484C" w:rsidP="005E484C">
      <w:pPr>
        <w:adjustRightInd w:val="0"/>
        <w:snapToGrid w:val="0"/>
        <w:spacing w:line="576" w:lineRule="exact"/>
        <w:jc w:val="center"/>
        <w:rPr>
          <w:rFonts w:eastAsia="方正小标宋简体"/>
          <w:sz w:val="44"/>
          <w:szCs w:val="44"/>
        </w:rPr>
      </w:pPr>
    </w:p>
    <w:p w:rsidR="005E484C" w:rsidRDefault="005E484C" w:rsidP="005E484C">
      <w:pPr>
        <w:adjustRightInd w:val="0"/>
        <w:snapToGrid w:val="0"/>
        <w:spacing w:line="576" w:lineRule="exact"/>
        <w:jc w:val="center"/>
        <w:rPr>
          <w:rFonts w:eastAsia="方正小标宋简体"/>
          <w:sz w:val="44"/>
          <w:szCs w:val="44"/>
        </w:rPr>
      </w:pPr>
      <w:bookmarkStart w:id="0" w:name="_GoBack"/>
      <w:r>
        <w:rPr>
          <w:rFonts w:eastAsia="方正小标宋简体" w:hint="eastAsia"/>
          <w:sz w:val="44"/>
          <w:szCs w:val="44"/>
        </w:rPr>
        <w:t>青海省新能源存量项目机制电价实施细则</w:t>
      </w:r>
    </w:p>
    <w:bookmarkEnd w:id="0"/>
    <w:p w:rsidR="005E484C" w:rsidRDefault="005E484C" w:rsidP="005E484C">
      <w:pPr>
        <w:pStyle w:val="a4"/>
        <w:spacing w:line="576" w:lineRule="exact"/>
        <w:ind w:firstLine="640"/>
        <w:jc w:val="center"/>
        <w:rPr>
          <w:rFonts w:ascii="黑体" w:eastAsia="黑体" w:hAnsi="黑体"/>
          <w:color w:val="000000"/>
          <w:sz w:val="32"/>
          <w:szCs w:val="32"/>
        </w:rPr>
      </w:pPr>
    </w:p>
    <w:p w:rsidR="005E484C" w:rsidRDefault="005E484C" w:rsidP="005E484C">
      <w:pPr>
        <w:pStyle w:val="a4"/>
        <w:spacing w:line="576" w:lineRule="exact"/>
        <w:ind w:firstLine="640"/>
        <w:jc w:val="center"/>
        <w:rPr>
          <w:rFonts w:ascii="黑体" w:eastAsia="黑体" w:hAnsi="黑体"/>
          <w:color w:val="000000"/>
          <w:sz w:val="32"/>
          <w:szCs w:val="32"/>
        </w:rPr>
      </w:pPr>
      <w:r>
        <w:rPr>
          <w:rFonts w:ascii="黑体" w:eastAsia="黑体" w:hAnsi="黑体"/>
          <w:color w:val="000000"/>
          <w:sz w:val="32"/>
          <w:szCs w:val="32"/>
        </w:rPr>
        <w:t>第一章</w:t>
      </w:r>
      <w:r>
        <w:rPr>
          <w:rFonts w:ascii="黑体" w:eastAsia="黑体" w:hAnsi="黑体" w:hint="eastAsia"/>
          <w:color w:val="000000"/>
          <w:sz w:val="32"/>
          <w:szCs w:val="32"/>
        </w:rPr>
        <w:t xml:space="preserve">  总则</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第一条 【制定依据】</w:t>
      </w:r>
      <w:r>
        <w:rPr>
          <w:rFonts w:ascii="仿宋_GB2312" w:eastAsia="仿宋_GB2312" w:hAnsi="仿宋_GB2312" w:cs="仿宋_GB2312" w:hint="eastAsia"/>
          <w:color w:val="000000"/>
          <w:sz w:val="32"/>
          <w:szCs w:val="32"/>
        </w:rPr>
        <w:t>为平稳</w:t>
      </w:r>
      <w:r>
        <w:rPr>
          <w:rFonts w:ascii="仿宋_GB2312" w:eastAsia="仿宋_GB2312" w:hAnsi="仿宋_GB2312" w:cs="仿宋_GB2312" w:hint="eastAsia"/>
          <w:color w:val="000000"/>
          <w:sz w:val="32"/>
          <w:szCs w:val="32"/>
          <w:lang w:val="en-US"/>
        </w:rPr>
        <w:t>有序推进新能源</w:t>
      </w:r>
      <w:r>
        <w:rPr>
          <w:rFonts w:ascii="仿宋_GB2312" w:eastAsia="仿宋_GB2312" w:hAnsi="仿宋_GB2312" w:cs="仿宋_GB2312" w:hint="eastAsia"/>
          <w:color w:val="000000"/>
          <w:sz w:val="32"/>
          <w:szCs w:val="32"/>
        </w:rPr>
        <w:t>存量项目上网电价市场化改革，根据国家发展改革委、国家能源局《关于深化新能源上网电价市场化改革 促进新能源高质量发展的通知》（</w:t>
      </w:r>
      <w:proofErr w:type="gramStart"/>
      <w:r>
        <w:rPr>
          <w:rFonts w:ascii="仿宋_GB2312" w:eastAsia="仿宋_GB2312" w:hAnsi="仿宋_GB2312" w:cs="仿宋_GB2312" w:hint="eastAsia"/>
          <w:color w:val="000000"/>
          <w:sz w:val="32"/>
          <w:szCs w:val="32"/>
        </w:rPr>
        <w:t>发改价格</w:t>
      </w:r>
      <w:proofErr w:type="gramEnd"/>
      <w:r>
        <w:rPr>
          <w:rFonts w:ascii="仿宋_GB2312" w:eastAsia="仿宋_GB2312" w:hAnsi="仿宋_GB2312" w:cs="仿宋_GB2312" w:hint="eastAsia"/>
          <w:color w:val="000000"/>
          <w:sz w:val="32"/>
          <w:szCs w:val="32"/>
        </w:rPr>
        <w:t>〔2025〕136号），《关于印发&lt;电力市场计量结算基本规则&gt;的通知》(</w:t>
      </w:r>
      <w:proofErr w:type="gramStart"/>
      <w:r>
        <w:rPr>
          <w:rFonts w:ascii="仿宋_GB2312" w:eastAsia="仿宋_GB2312" w:hAnsi="仿宋_GB2312" w:cs="仿宋_GB2312" w:hint="eastAsia"/>
          <w:color w:val="000000"/>
          <w:sz w:val="32"/>
          <w:szCs w:val="32"/>
        </w:rPr>
        <w:t>发改能源规</w:t>
      </w:r>
      <w:proofErr w:type="gramEnd"/>
      <w:r>
        <w:rPr>
          <w:rFonts w:ascii="仿宋_GB2312" w:eastAsia="仿宋_GB2312" w:hAnsi="仿宋_GB2312" w:cs="仿宋_GB2312" w:hint="eastAsia"/>
          <w:color w:val="000000"/>
          <w:sz w:val="32"/>
          <w:szCs w:val="32"/>
        </w:rPr>
        <w:t>〔2025〕976号）等文件要求，结合</w:t>
      </w:r>
      <w:r>
        <w:rPr>
          <w:rFonts w:ascii="仿宋_GB2312" w:eastAsia="仿宋_GB2312" w:hAnsi="仿宋_GB2312" w:cs="仿宋_GB2312" w:hint="eastAsia"/>
          <w:color w:val="000000"/>
          <w:sz w:val="32"/>
          <w:szCs w:val="32"/>
          <w:lang w:val="en-US"/>
        </w:rPr>
        <w:t>省情</w:t>
      </w:r>
      <w:r>
        <w:rPr>
          <w:rFonts w:ascii="仿宋_GB2312" w:eastAsia="仿宋_GB2312" w:hAnsi="仿宋_GB2312" w:cs="仿宋_GB2312" w:hint="eastAsia"/>
          <w:color w:val="000000"/>
          <w:sz w:val="32"/>
          <w:szCs w:val="32"/>
        </w:rPr>
        <w:t>实际，制定本细则。</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第二条 【机制电量】</w:t>
      </w:r>
      <w:r>
        <w:rPr>
          <w:rFonts w:ascii="仿宋_GB2312" w:eastAsia="仿宋_GB2312" w:hAnsi="仿宋_GB2312" w:cs="仿宋_GB2312" w:hint="eastAsia"/>
          <w:color w:val="000000"/>
          <w:sz w:val="32"/>
          <w:szCs w:val="32"/>
        </w:rPr>
        <w:t>扶贫、特许经营权、“金太阳”、分布式光伏、分散式风电电量全额纳入机制电量范围。光</w:t>
      </w:r>
      <w:proofErr w:type="gramStart"/>
      <w:r>
        <w:rPr>
          <w:rFonts w:ascii="仿宋_GB2312" w:eastAsia="仿宋_GB2312" w:hAnsi="仿宋_GB2312" w:cs="仿宋_GB2312" w:hint="eastAsia"/>
          <w:color w:val="000000"/>
          <w:sz w:val="32"/>
          <w:szCs w:val="32"/>
        </w:rPr>
        <w:t>伏应用</w:t>
      </w:r>
      <w:proofErr w:type="gramEnd"/>
      <w:r>
        <w:rPr>
          <w:rFonts w:ascii="仿宋_GB2312" w:eastAsia="仿宋_GB2312" w:hAnsi="仿宋_GB2312" w:cs="仿宋_GB2312" w:hint="eastAsia"/>
          <w:color w:val="000000"/>
          <w:sz w:val="32"/>
          <w:szCs w:val="32"/>
        </w:rPr>
        <w:t>“领跑者”项目按照年发电利用小时数1500小时纳入机制电量范围。</w:t>
      </w:r>
      <w:r>
        <w:rPr>
          <w:rFonts w:ascii="仿宋_GB2312" w:eastAsia="仿宋_GB2312" w:hAnsi="仿宋_GB2312" w:cs="仿宋_GB2312" w:hint="eastAsia"/>
          <w:sz w:val="32"/>
          <w:szCs w:val="32"/>
          <w:lang w:val="en-US" w:bidi="ar"/>
        </w:rPr>
        <w:t>2021年1月1日以后投产且</w:t>
      </w:r>
      <w:r>
        <w:rPr>
          <w:rFonts w:ascii="仿宋_GB2312" w:eastAsia="仿宋_GB2312" w:hAnsi="仿宋_GB2312" w:cs="仿宋_GB2312" w:hint="eastAsia"/>
          <w:color w:val="000000"/>
          <w:sz w:val="32"/>
          <w:szCs w:val="32"/>
        </w:rPr>
        <w:t>不带新能源补贴的光伏项目</w:t>
      </w:r>
      <w:proofErr w:type="gramStart"/>
      <w:r>
        <w:rPr>
          <w:rFonts w:ascii="仿宋_GB2312" w:eastAsia="仿宋_GB2312" w:hAnsi="仿宋_GB2312" w:cs="仿宋_GB2312" w:hint="eastAsia"/>
          <w:color w:val="000000"/>
          <w:sz w:val="32"/>
          <w:szCs w:val="32"/>
        </w:rPr>
        <w:t>按装</w:t>
      </w:r>
      <w:proofErr w:type="gramEnd"/>
      <w:r>
        <w:rPr>
          <w:rFonts w:ascii="仿宋_GB2312" w:eastAsia="仿宋_GB2312" w:hAnsi="仿宋_GB2312" w:cs="仿宋_GB2312" w:hint="eastAsia"/>
          <w:color w:val="000000"/>
          <w:sz w:val="32"/>
          <w:szCs w:val="32"/>
        </w:rPr>
        <w:t>机容量等比例分</w:t>
      </w:r>
      <w:r>
        <w:rPr>
          <w:rFonts w:ascii="仿宋_GB2312" w:eastAsia="仿宋_GB2312" w:hAnsi="仿宋_GB2312" w:cs="仿宋_GB2312" w:hint="eastAsia"/>
          <w:color w:val="000000"/>
          <w:sz w:val="32"/>
          <w:szCs w:val="32"/>
          <w:lang w:val="en-US"/>
        </w:rPr>
        <w:t>45</w:t>
      </w:r>
      <w:r>
        <w:rPr>
          <w:rFonts w:ascii="仿宋_GB2312" w:eastAsia="仿宋_GB2312" w:hAnsi="仿宋_GB2312" w:cs="仿宋_GB2312" w:hint="eastAsia"/>
          <w:color w:val="000000"/>
          <w:sz w:val="32"/>
          <w:szCs w:val="32"/>
        </w:rPr>
        <w:t>亿千瓦时机制电量；</w:t>
      </w:r>
      <w:r>
        <w:rPr>
          <w:rFonts w:ascii="仿宋_GB2312" w:eastAsia="仿宋_GB2312" w:hAnsi="仿宋_GB2312" w:cs="仿宋_GB2312" w:hint="eastAsia"/>
          <w:sz w:val="32"/>
          <w:szCs w:val="32"/>
          <w:lang w:val="en-US" w:bidi="ar"/>
        </w:rPr>
        <w:t>2021年1月1日以后投产且</w:t>
      </w:r>
      <w:r>
        <w:rPr>
          <w:rFonts w:ascii="仿宋_GB2312" w:eastAsia="仿宋_GB2312" w:hAnsi="仿宋_GB2312" w:cs="仿宋_GB2312" w:hint="eastAsia"/>
          <w:color w:val="000000"/>
          <w:sz w:val="32"/>
          <w:szCs w:val="32"/>
        </w:rPr>
        <w:t>不带新能源补贴的</w:t>
      </w:r>
      <w:proofErr w:type="gramStart"/>
      <w:r>
        <w:rPr>
          <w:rFonts w:ascii="仿宋_GB2312" w:eastAsia="仿宋_GB2312" w:hAnsi="仿宋_GB2312" w:cs="仿宋_GB2312" w:hint="eastAsia"/>
          <w:color w:val="000000"/>
          <w:sz w:val="32"/>
          <w:szCs w:val="32"/>
        </w:rPr>
        <w:t>的</w:t>
      </w:r>
      <w:proofErr w:type="gramEnd"/>
      <w:r>
        <w:rPr>
          <w:rFonts w:ascii="仿宋_GB2312" w:eastAsia="仿宋_GB2312" w:hAnsi="仿宋_GB2312" w:cs="仿宋_GB2312" w:hint="eastAsia"/>
          <w:color w:val="000000"/>
          <w:sz w:val="32"/>
          <w:szCs w:val="32"/>
        </w:rPr>
        <w:t>风电项目</w:t>
      </w:r>
      <w:proofErr w:type="gramStart"/>
      <w:r>
        <w:rPr>
          <w:rFonts w:ascii="仿宋_GB2312" w:eastAsia="仿宋_GB2312" w:hAnsi="仿宋_GB2312" w:cs="仿宋_GB2312" w:hint="eastAsia"/>
          <w:color w:val="000000"/>
          <w:sz w:val="32"/>
          <w:szCs w:val="32"/>
        </w:rPr>
        <w:t>按装</w:t>
      </w:r>
      <w:proofErr w:type="gramEnd"/>
      <w:r>
        <w:rPr>
          <w:rFonts w:ascii="仿宋_GB2312" w:eastAsia="仿宋_GB2312" w:hAnsi="仿宋_GB2312" w:cs="仿宋_GB2312" w:hint="eastAsia"/>
          <w:color w:val="000000"/>
          <w:sz w:val="32"/>
          <w:szCs w:val="32"/>
        </w:rPr>
        <w:t>机容量等比例分配</w:t>
      </w:r>
      <w:r>
        <w:rPr>
          <w:rFonts w:ascii="仿宋_GB2312" w:eastAsia="仿宋_GB2312" w:hAnsi="仿宋_GB2312" w:cs="仿宋_GB2312" w:hint="eastAsia"/>
          <w:color w:val="000000"/>
          <w:sz w:val="32"/>
          <w:szCs w:val="32"/>
          <w:lang w:val="en-US"/>
        </w:rPr>
        <w:t>6.4</w:t>
      </w:r>
      <w:r>
        <w:rPr>
          <w:rFonts w:ascii="仿宋_GB2312" w:eastAsia="仿宋_GB2312" w:hAnsi="仿宋_GB2312" w:cs="仿宋_GB2312" w:hint="eastAsia"/>
          <w:color w:val="000000"/>
          <w:sz w:val="32"/>
          <w:szCs w:val="32"/>
        </w:rPr>
        <w:t>亿千瓦时机制电量。</w:t>
      </w:r>
      <w:r>
        <w:rPr>
          <w:rFonts w:ascii="仿宋_GB2312" w:eastAsia="仿宋_GB2312" w:hAnsi="仿宋_GB2312" w:cs="仿宋_GB2312" w:hint="eastAsia"/>
          <w:sz w:val="32"/>
          <w:szCs w:val="32"/>
        </w:rPr>
        <w:t>2025年5月31日前并网</w:t>
      </w:r>
      <w:r>
        <w:rPr>
          <w:rFonts w:ascii="仿宋_GB2312" w:eastAsia="仿宋_GB2312" w:hAnsi="仿宋_GB2312" w:cs="仿宋_GB2312" w:hint="eastAsia"/>
          <w:sz w:val="32"/>
          <w:szCs w:val="32"/>
          <w:lang w:val="en-US" w:bidi="ar"/>
        </w:rPr>
        <w:t>且</w:t>
      </w:r>
      <w:r>
        <w:rPr>
          <w:rFonts w:ascii="仿宋_GB2312" w:eastAsia="仿宋_GB2312" w:hAnsi="仿宋_GB2312" w:cs="仿宋_GB2312" w:hint="eastAsia"/>
          <w:color w:val="000000"/>
          <w:sz w:val="32"/>
          <w:szCs w:val="32"/>
        </w:rPr>
        <w:t>不带新能源补贴的</w:t>
      </w:r>
      <w:r>
        <w:rPr>
          <w:rFonts w:ascii="仿宋_GB2312" w:eastAsia="仿宋_GB2312" w:hAnsi="仿宋_GB2312" w:cs="仿宋_GB2312" w:hint="eastAsia"/>
          <w:sz w:val="32"/>
          <w:szCs w:val="32"/>
        </w:rPr>
        <w:t>光热项目，纳入机制电量的</w:t>
      </w:r>
      <w:r>
        <w:rPr>
          <w:rFonts w:ascii="仿宋_GB2312" w:eastAsia="仿宋_GB2312" w:hAnsi="仿宋_GB2312" w:cs="仿宋_GB2312" w:hint="eastAsia"/>
          <w:sz w:val="32"/>
          <w:szCs w:val="32"/>
          <w:lang w:val="en-US"/>
        </w:rPr>
        <w:t>年利用小时数1520小时</w:t>
      </w:r>
      <w:r>
        <w:rPr>
          <w:rFonts w:ascii="仿宋_GB2312" w:eastAsia="仿宋_GB2312" w:hAnsi="仿宋_GB2312" w:cs="仿宋_GB2312" w:hint="eastAsia"/>
          <w:sz w:val="32"/>
          <w:szCs w:val="32"/>
        </w:rPr>
        <w:t>；已纳入</w:t>
      </w:r>
      <w:r>
        <w:rPr>
          <w:rFonts w:ascii="仿宋_GB2312" w:eastAsia="仿宋_GB2312" w:hAnsi="仿宋_GB2312" w:cs="仿宋_GB2312" w:hint="eastAsia"/>
          <w:sz w:val="32"/>
          <w:szCs w:val="32"/>
          <w:lang w:val="en-US"/>
        </w:rPr>
        <w:t>2021、</w:t>
      </w:r>
      <w:r>
        <w:rPr>
          <w:rFonts w:ascii="仿宋_GB2312" w:eastAsia="仿宋_GB2312" w:hAnsi="仿宋_GB2312" w:cs="仿宋_GB2312" w:hint="eastAsia"/>
          <w:sz w:val="32"/>
          <w:szCs w:val="32"/>
        </w:rPr>
        <w:t>2022年全省新能源开发建设</w:t>
      </w:r>
      <w:proofErr w:type="gramStart"/>
      <w:r>
        <w:rPr>
          <w:rFonts w:ascii="仿宋_GB2312" w:eastAsia="仿宋_GB2312" w:hAnsi="仿宋_GB2312" w:cs="仿宋_GB2312" w:hint="eastAsia"/>
          <w:sz w:val="32"/>
          <w:szCs w:val="32"/>
        </w:rPr>
        <w:t>方案本地</w:t>
      </w:r>
      <w:proofErr w:type="gramEnd"/>
      <w:r>
        <w:rPr>
          <w:rFonts w:ascii="仿宋_GB2312" w:eastAsia="仿宋_GB2312" w:hAnsi="仿宋_GB2312" w:cs="仿宋_GB2312" w:hint="eastAsia"/>
          <w:sz w:val="32"/>
          <w:szCs w:val="32"/>
        </w:rPr>
        <w:t>消纳的光热项目、已纳入2024年至2028年底全省年度光热发电示范开发计划的光热项目</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纳入机制电量的年利用小时数根据设计储热时长及单位储热时长年利用小时数确定，单位储热时长年利用小时数为</w:t>
      </w:r>
      <w:r>
        <w:rPr>
          <w:rFonts w:ascii="仿宋_GB2312" w:eastAsia="仿宋_GB2312" w:hAnsi="仿宋_GB2312" w:cs="仿宋_GB2312" w:hint="eastAsia"/>
          <w:sz w:val="32"/>
          <w:szCs w:val="32"/>
          <w:lang w:val="en-US"/>
        </w:rPr>
        <w:t>190</w:t>
      </w:r>
      <w:r>
        <w:rPr>
          <w:rFonts w:ascii="仿宋_GB2312" w:eastAsia="仿宋_GB2312" w:hAnsi="仿宋_GB2312" w:cs="仿宋_GB2312" w:hint="eastAsia"/>
          <w:sz w:val="32"/>
          <w:szCs w:val="32"/>
        </w:rPr>
        <w:t>小时。</w:t>
      </w:r>
      <w:r>
        <w:rPr>
          <w:rFonts w:ascii="仿宋_GB2312" w:eastAsia="仿宋_GB2312" w:hAnsi="仿宋_GB2312" w:cs="仿宋_GB2312" w:hint="eastAsia"/>
          <w:color w:val="000000"/>
          <w:sz w:val="32"/>
          <w:szCs w:val="32"/>
        </w:rPr>
        <w:t>存量机</w:t>
      </w:r>
      <w:r>
        <w:rPr>
          <w:rFonts w:ascii="仿宋_GB2312" w:eastAsia="仿宋_GB2312" w:hAnsi="仿宋_GB2312" w:cs="仿宋_GB2312" w:hint="eastAsia"/>
          <w:color w:val="000000"/>
          <w:sz w:val="32"/>
          <w:szCs w:val="32"/>
        </w:rPr>
        <w:lastRenderedPageBreak/>
        <w:t>制电量项目清单由省能源局会同省发展改革委确定。</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第三条 【机制电价】</w:t>
      </w:r>
      <w:r>
        <w:rPr>
          <w:rFonts w:ascii="仿宋_GB2312" w:eastAsia="仿宋_GB2312" w:hAnsi="仿宋_GB2312" w:cs="仿宋_GB2312" w:hint="eastAsia"/>
          <w:color w:val="000000"/>
          <w:sz w:val="32"/>
          <w:szCs w:val="32"/>
        </w:rPr>
        <w:t>扶贫、特许经营权、光</w:t>
      </w:r>
      <w:proofErr w:type="gramStart"/>
      <w:r>
        <w:rPr>
          <w:rFonts w:ascii="仿宋_GB2312" w:eastAsia="仿宋_GB2312" w:hAnsi="仿宋_GB2312" w:cs="仿宋_GB2312" w:hint="eastAsia"/>
          <w:color w:val="000000"/>
          <w:sz w:val="32"/>
          <w:szCs w:val="32"/>
        </w:rPr>
        <w:t>伏应用</w:t>
      </w:r>
      <w:proofErr w:type="gramEnd"/>
      <w:r>
        <w:rPr>
          <w:rFonts w:ascii="仿宋_GB2312" w:eastAsia="仿宋_GB2312" w:hAnsi="仿宋_GB2312" w:cs="仿宋_GB2312" w:hint="eastAsia"/>
          <w:color w:val="000000"/>
          <w:sz w:val="32"/>
          <w:szCs w:val="32"/>
        </w:rPr>
        <w:t>“领跑者”、分散式风电、不带新能源补贴项目机制电价水平按照我省新能源补贴基准价0.2277元/千瓦时执行；“金太阳”项目按照我省脱硫燃煤机组标杆电价0.3127元/千瓦时执行；分布式光伏、光热项目按照现行价格政策执行。</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第四条 【执行期限】</w:t>
      </w:r>
      <w:r>
        <w:rPr>
          <w:rFonts w:ascii="仿宋_GB2312" w:eastAsia="仿宋_GB2312" w:hAnsi="仿宋_GB2312" w:cs="仿宋_GB2312" w:hint="eastAsia"/>
          <w:color w:val="000000"/>
          <w:sz w:val="32"/>
          <w:szCs w:val="32"/>
        </w:rPr>
        <w:t>扶贫、特许经营权、光</w:t>
      </w:r>
      <w:proofErr w:type="gramStart"/>
      <w:r>
        <w:rPr>
          <w:rFonts w:ascii="仿宋_GB2312" w:eastAsia="仿宋_GB2312" w:hAnsi="仿宋_GB2312" w:cs="仿宋_GB2312" w:hint="eastAsia"/>
          <w:color w:val="000000"/>
          <w:sz w:val="32"/>
          <w:szCs w:val="32"/>
        </w:rPr>
        <w:t>伏应用</w:t>
      </w:r>
      <w:proofErr w:type="gramEnd"/>
      <w:r>
        <w:rPr>
          <w:rFonts w:ascii="仿宋_GB2312" w:eastAsia="仿宋_GB2312" w:hAnsi="仿宋_GB2312" w:cs="仿宋_GB2312" w:hint="eastAsia"/>
          <w:color w:val="000000"/>
          <w:sz w:val="32"/>
          <w:szCs w:val="32"/>
        </w:rPr>
        <w:t>“领跑者”、“金太阳”、分布式光伏、分散式风电项目，按照政策开始执行时剩余全生命周期合理利用小时数对应年份与投产满20年对应年份两者较早者确定。不带新能源补贴的</w:t>
      </w:r>
      <w:r>
        <w:rPr>
          <w:rFonts w:ascii="仿宋_GB2312" w:eastAsia="仿宋_GB2312" w:hAnsi="仿宋_GB2312" w:cs="仿宋_GB2312" w:hint="eastAsia"/>
          <w:sz w:val="32"/>
          <w:szCs w:val="32"/>
        </w:rPr>
        <w:t>光伏、风</w:t>
      </w:r>
      <w:proofErr w:type="gramStart"/>
      <w:r>
        <w:rPr>
          <w:rFonts w:ascii="仿宋_GB2312" w:eastAsia="仿宋_GB2312" w:hAnsi="仿宋_GB2312" w:cs="仿宋_GB2312" w:hint="eastAsia"/>
          <w:sz w:val="32"/>
          <w:szCs w:val="32"/>
        </w:rPr>
        <w:t>电项目</w:t>
      </w:r>
      <w:proofErr w:type="gramEnd"/>
      <w:r>
        <w:rPr>
          <w:rFonts w:ascii="仿宋_GB2312" w:eastAsia="仿宋_GB2312" w:hAnsi="仿宋_GB2312" w:cs="仿宋_GB2312" w:hint="eastAsia"/>
          <w:sz w:val="32"/>
          <w:szCs w:val="32"/>
        </w:rPr>
        <w:t>执行期</w:t>
      </w:r>
      <w:r>
        <w:rPr>
          <w:rFonts w:ascii="仿宋_GB2312" w:eastAsia="仿宋_GB2312" w:hAnsi="仿宋_GB2312" w:cs="仿宋_GB2312" w:hint="eastAsia"/>
          <w:sz w:val="32"/>
          <w:szCs w:val="32"/>
          <w:lang w:val="en-US"/>
        </w:rPr>
        <w:t>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rPr>
        <w:t>自2026年1月1日起计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ar"/>
        </w:rPr>
        <w:t>光热项目执行期按投产满</w:t>
      </w:r>
      <w:r>
        <w:rPr>
          <w:rFonts w:ascii="仿宋_GB2312" w:eastAsia="仿宋_GB2312" w:hAnsi="仿宋_GB2312" w:cs="仿宋_GB2312" w:hint="eastAsia"/>
          <w:sz w:val="32"/>
          <w:szCs w:val="32"/>
          <w:lang w:val="en-US" w:bidi="ar"/>
        </w:rPr>
        <w:t>25</w:t>
      </w:r>
      <w:r>
        <w:rPr>
          <w:rFonts w:ascii="仿宋_GB2312" w:eastAsia="仿宋_GB2312" w:hAnsi="仿宋_GB2312" w:cs="仿宋_GB2312" w:hint="eastAsia"/>
          <w:sz w:val="32"/>
          <w:szCs w:val="32"/>
          <w:lang w:bidi="ar"/>
        </w:rPr>
        <w:t>年确定。</w:t>
      </w:r>
      <w:r>
        <w:rPr>
          <w:rFonts w:ascii="仿宋_GB2312" w:eastAsia="仿宋_GB2312" w:hAnsi="仿宋_GB2312" w:cs="仿宋_GB2312" w:hint="eastAsia"/>
          <w:color w:val="000000"/>
          <w:sz w:val="32"/>
          <w:szCs w:val="32"/>
        </w:rPr>
        <w:t>执行期限到期后，新能源项目对应的机制电量规模自动从全省机制电量规模</w:t>
      </w:r>
      <w:r>
        <w:rPr>
          <w:rFonts w:ascii="仿宋_GB2312" w:eastAsia="仿宋_GB2312" w:hAnsi="仿宋_GB2312" w:cs="仿宋_GB2312" w:hint="eastAsia"/>
          <w:color w:val="000000"/>
          <w:sz w:val="32"/>
          <w:szCs w:val="32"/>
          <w:lang w:val="en-US"/>
        </w:rPr>
        <w:t>移出</w:t>
      </w:r>
      <w:r>
        <w:rPr>
          <w:rFonts w:ascii="仿宋_GB2312" w:eastAsia="仿宋_GB2312" w:hAnsi="仿宋_GB2312" w:cs="仿宋_GB2312" w:hint="eastAsia"/>
          <w:color w:val="000000"/>
          <w:sz w:val="32"/>
          <w:szCs w:val="32"/>
        </w:rPr>
        <w:t>。</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风电、光</w:t>
      </w:r>
      <w:proofErr w:type="gramStart"/>
      <w:r>
        <w:rPr>
          <w:rFonts w:ascii="仿宋_GB2312" w:eastAsia="仿宋_GB2312" w:hAnsi="仿宋_GB2312" w:cs="仿宋_GB2312" w:hint="eastAsia"/>
          <w:color w:val="000000"/>
          <w:sz w:val="32"/>
          <w:szCs w:val="32"/>
        </w:rPr>
        <w:t>伏项目</w:t>
      </w:r>
      <w:proofErr w:type="gramEnd"/>
      <w:r>
        <w:rPr>
          <w:rFonts w:ascii="仿宋_GB2312" w:eastAsia="仿宋_GB2312" w:hAnsi="仿宋_GB2312" w:cs="仿宋_GB2312" w:hint="eastAsia"/>
          <w:color w:val="000000"/>
          <w:sz w:val="32"/>
          <w:szCs w:val="32"/>
        </w:rPr>
        <w:t>全生命周期合理利用小时数分别为36000小时（风电四类资源区）、32000小时（光伏一类资源区）、26000小时（光伏二类资源区）。其中国家确定的光伏“领跑者”基地项目全生命周期合理利用小时数在上述基础上增加10%，即35200小时（光伏一类资源区）。</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额上网的存量新能源项目，已利用的小时数=并网以来全部上网电量÷装机容量。执行机制电价前剩余利用小时数=全生命周期合理利用小时数-已利用小时数。执行机制电价后，剩余利用小时数=执行机制电价前剩余利用小时数-（机制电价执行期内全部上网电量÷装机容量）。</w:t>
      </w:r>
    </w:p>
    <w:p w:rsidR="005E484C" w:rsidRDefault="005E484C" w:rsidP="005E484C">
      <w:pPr>
        <w:pStyle w:val="a4"/>
        <w:adjustRightInd w:val="0"/>
        <w:snapToGrid w:val="0"/>
        <w:spacing w:line="59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余电上网的存量新能源项目，相关利用小时数均按全发</w:t>
      </w:r>
      <w:r>
        <w:rPr>
          <w:rFonts w:ascii="仿宋_GB2312" w:eastAsia="仿宋_GB2312" w:hAnsi="仿宋_GB2312" w:cs="仿宋_GB2312" w:hint="eastAsia"/>
          <w:color w:val="000000"/>
          <w:sz w:val="32"/>
          <w:szCs w:val="32"/>
        </w:rPr>
        <w:lastRenderedPageBreak/>
        <w:t>电量与装机容量计算确定。</w:t>
      </w:r>
    </w:p>
    <w:p w:rsidR="005E484C" w:rsidRDefault="005E484C" w:rsidP="005E484C">
      <w:pPr>
        <w:pStyle w:val="a4"/>
        <w:numPr>
          <w:ilvl w:val="0"/>
          <w:numId w:val="1"/>
        </w:numPr>
        <w:adjustRightInd w:val="0"/>
        <w:snapToGrid w:val="0"/>
        <w:spacing w:line="590" w:lineRule="exact"/>
        <w:ind w:firstLine="640"/>
        <w:jc w:val="center"/>
        <w:rPr>
          <w:rFonts w:ascii="黑体" w:eastAsia="黑体" w:hAnsi="黑体"/>
          <w:color w:val="000000"/>
          <w:sz w:val="32"/>
          <w:szCs w:val="32"/>
        </w:rPr>
      </w:pPr>
      <w:r>
        <w:rPr>
          <w:rFonts w:ascii="黑体" w:eastAsia="黑体" w:hAnsi="黑体" w:hint="eastAsia"/>
          <w:color w:val="000000"/>
          <w:sz w:val="32"/>
          <w:szCs w:val="32"/>
        </w:rPr>
        <w:t xml:space="preserve"> 实施流程</w:t>
      </w:r>
    </w:p>
    <w:p w:rsidR="005E484C" w:rsidRDefault="005E484C" w:rsidP="005E484C">
      <w:pPr>
        <w:pStyle w:val="a4"/>
        <w:adjustRightInd w:val="0"/>
        <w:snapToGrid w:val="0"/>
        <w:spacing w:line="59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第五条 【流程标准】</w:t>
      </w:r>
      <w:r>
        <w:rPr>
          <w:rFonts w:ascii="仿宋_GB2312" w:eastAsia="仿宋_GB2312" w:hAnsi="仿宋_GB2312" w:cs="仿宋_GB2312" w:hint="eastAsia"/>
          <w:color w:val="000000"/>
          <w:sz w:val="32"/>
          <w:szCs w:val="32"/>
        </w:rPr>
        <w:t>按照“</w:t>
      </w:r>
      <w:r>
        <w:rPr>
          <w:rFonts w:ascii="仿宋_GB2312" w:eastAsia="仿宋_GB2312" w:hAnsi="仿宋_GB2312" w:cs="仿宋_GB2312" w:hint="eastAsia"/>
          <w:color w:val="000000"/>
          <w:sz w:val="32"/>
          <w:szCs w:val="32"/>
          <w:lang w:val="en-US"/>
        </w:rPr>
        <w:t>确认—</w:t>
      </w:r>
      <w:r>
        <w:rPr>
          <w:rFonts w:ascii="仿宋_GB2312" w:eastAsia="仿宋_GB2312" w:hAnsi="仿宋_GB2312" w:cs="仿宋_GB2312" w:hint="eastAsia"/>
          <w:color w:val="000000"/>
          <w:sz w:val="32"/>
          <w:szCs w:val="32"/>
        </w:rPr>
        <w:t>公示</w:t>
      </w:r>
      <w:r>
        <w:rPr>
          <w:rFonts w:ascii="仿宋_GB2312" w:eastAsia="仿宋_GB2312" w:hAnsi="仿宋_GB2312" w:cs="仿宋_GB2312" w:hint="eastAsia"/>
          <w:color w:val="000000"/>
          <w:sz w:val="32"/>
          <w:szCs w:val="32"/>
          <w:lang w:val="en-US"/>
        </w:rPr>
        <w:t>—</w:t>
      </w:r>
      <w:r>
        <w:rPr>
          <w:rFonts w:ascii="仿宋_GB2312" w:eastAsia="仿宋_GB2312" w:hAnsi="仿宋_GB2312" w:cs="仿宋_GB2312" w:hint="eastAsia"/>
          <w:color w:val="000000"/>
          <w:sz w:val="32"/>
          <w:szCs w:val="32"/>
        </w:rPr>
        <w:t>签约</w:t>
      </w:r>
      <w:r>
        <w:rPr>
          <w:rFonts w:ascii="仿宋_GB2312" w:eastAsia="仿宋_GB2312" w:hAnsi="仿宋_GB2312" w:cs="仿宋_GB2312" w:hint="eastAsia"/>
          <w:color w:val="000000"/>
          <w:sz w:val="32"/>
          <w:szCs w:val="32"/>
          <w:lang w:val="en-US"/>
        </w:rPr>
        <w:t>—</w:t>
      </w:r>
      <w:r>
        <w:rPr>
          <w:rFonts w:ascii="仿宋_GB2312" w:eastAsia="仿宋_GB2312" w:hAnsi="仿宋_GB2312" w:cs="仿宋_GB2312" w:hint="eastAsia"/>
          <w:color w:val="000000"/>
          <w:sz w:val="32"/>
          <w:szCs w:val="32"/>
        </w:rPr>
        <w:t>结算”标准化流程开展工作，确保公开、公平、公正。</w:t>
      </w:r>
    </w:p>
    <w:p w:rsidR="005E484C" w:rsidRDefault="005E484C" w:rsidP="005E484C">
      <w:pPr>
        <w:pStyle w:val="a4"/>
        <w:adjustRightInd w:val="0"/>
        <w:snapToGrid w:val="0"/>
        <w:spacing w:line="59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第六条 【信息确认】</w:t>
      </w:r>
      <w:r>
        <w:rPr>
          <w:rFonts w:ascii="仿宋_GB2312" w:eastAsia="仿宋_GB2312" w:hAnsi="仿宋_GB2312" w:cs="仿宋_GB2312" w:hint="eastAsia"/>
          <w:color w:val="000000"/>
          <w:sz w:val="32"/>
          <w:szCs w:val="32"/>
        </w:rPr>
        <w:t>电网企业收集存量项目</w:t>
      </w:r>
      <w:r>
        <w:rPr>
          <w:rFonts w:ascii="仿宋_GB2312" w:eastAsia="仿宋_GB2312" w:hAnsi="仿宋_GB2312" w:cs="仿宋_GB2312" w:hint="eastAsia"/>
          <w:sz w:val="32"/>
          <w:szCs w:val="32"/>
          <w:lang w:val="en-US" w:bidi="ar"/>
        </w:rPr>
        <w:t>市场</w:t>
      </w:r>
      <w:r>
        <w:rPr>
          <w:rFonts w:ascii="仿宋_GB2312" w:eastAsia="仿宋_GB2312" w:hAnsi="仿宋_GB2312" w:cs="仿宋_GB2312" w:hint="eastAsia"/>
          <w:sz w:val="32"/>
          <w:szCs w:val="32"/>
          <w:lang w:bidi="ar"/>
        </w:rPr>
        <w:t>主体</w:t>
      </w:r>
      <w:r>
        <w:rPr>
          <w:rFonts w:ascii="仿宋_GB2312" w:eastAsia="仿宋_GB2312" w:hAnsi="仿宋_GB2312" w:cs="仿宋_GB2312" w:hint="eastAsia"/>
          <w:color w:val="000000"/>
          <w:sz w:val="32"/>
          <w:szCs w:val="32"/>
        </w:rPr>
        <w:t>信息，并组织</w:t>
      </w:r>
      <w:r>
        <w:rPr>
          <w:rFonts w:ascii="仿宋_GB2312" w:eastAsia="仿宋_GB2312" w:hAnsi="仿宋_GB2312" w:cs="仿宋_GB2312" w:hint="eastAsia"/>
          <w:sz w:val="32"/>
          <w:szCs w:val="32"/>
          <w:lang w:val="en-US" w:bidi="ar"/>
        </w:rPr>
        <w:t>各相关市场</w:t>
      </w:r>
      <w:r>
        <w:rPr>
          <w:rFonts w:ascii="仿宋_GB2312" w:eastAsia="仿宋_GB2312" w:hAnsi="仿宋_GB2312" w:cs="仿宋_GB2312" w:hint="eastAsia"/>
          <w:sz w:val="32"/>
          <w:szCs w:val="32"/>
          <w:lang w:bidi="ar"/>
        </w:rPr>
        <w:t>主体</w:t>
      </w:r>
      <w:r>
        <w:rPr>
          <w:rFonts w:ascii="仿宋_GB2312" w:eastAsia="仿宋_GB2312" w:hAnsi="仿宋_GB2312" w:cs="仿宋_GB2312" w:hint="eastAsia"/>
          <w:color w:val="000000"/>
          <w:sz w:val="32"/>
          <w:szCs w:val="32"/>
        </w:rPr>
        <w:t>在规定期限内就相关信息进行修改、完善、确认，确保信息完整、准确。</w:t>
      </w:r>
    </w:p>
    <w:p w:rsidR="005E484C" w:rsidRDefault="005E484C" w:rsidP="005E484C">
      <w:pPr>
        <w:pStyle w:val="a4"/>
        <w:adjustRightInd w:val="0"/>
        <w:snapToGrid w:val="0"/>
        <w:spacing w:line="59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第七条 【审核公示】</w:t>
      </w:r>
      <w:r>
        <w:rPr>
          <w:rFonts w:ascii="仿宋_GB2312" w:eastAsia="仿宋_GB2312" w:hAnsi="仿宋_GB2312" w:cs="仿宋_GB2312" w:hint="eastAsia"/>
          <w:color w:val="000000"/>
          <w:sz w:val="32"/>
          <w:szCs w:val="32"/>
        </w:rPr>
        <w:t>信息确认结束后，经省发展改革委审核、批准，电网企业对纳入机制的项目和电量进行公示，公示期5个工作日，对公示结果有异议的，</w:t>
      </w:r>
      <w:r>
        <w:rPr>
          <w:rFonts w:ascii="仿宋_GB2312" w:eastAsia="仿宋_GB2312" w:hAnsi="仿宋_GB2312" w:cs="仿宋_GB2312" w:hint="eastAsia"/>
          <w:color w:val="000000"/>
          <w:sz w:val="32"/>
          <w:szCs w:val="32"/>
          <w:lang w:val="en-US"/>
        </w:rPr>
        <w:t>应当</w:t>
      </w:r>
      <w:r>
        <w:rPr>
          <w:rFonts w:ascii="仿宋_GB2312" w:eastAsia="仿宋_GB2312" w:hAnsi="仿宋_GB2312" w:cs="仿宋_GB2312" w:hint="eastAsia"/>
          <w:color w:val="000000"/>
          <w:sz w:val="32"/>
          <w:szCs w:val="32"/>
        </w:rPr>
        <w:t>在公示期内向省发展改革委提出，并提供相关证明材料。公示期内未提出异议的，视为认可审核结果。</w:t>
      </w:r>
    </w:p>
    <w:p w:rsidR="005E484C" w:rsidRDefault="005E484C" w:rsidP="005E484C">
      <w:pPr>
        <w:pStyle w:val="a4"/>
        <w:adjustRightInd w:val="0"/>
        <w:snapToGrid w:val="0"/>
        <w:spacing w:line="59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第八条 【协议签订】</w:t>
      </w:r>
      <w:r>
        <w:rPr>
          <w:rFonts w:ascii="仿宋_GB2312" w:eastAsia="仿宋_GB2312" w:hAnsi="仿宋_GB2312" w:cs="仿宋_GB2312" w:hint="eastAsia"/>
          <w:color w:val="000000"/>
          <w:sz w:val="32"/>
          <w:szCs w:val="32"/>
        </w:rPr>
        <w:t>公示完成后，由电网企业择期组织经营主体在相关信息平台签订差价协议。经营主体在协议模板基础上确认项目机制电量、机制电价等信息，并按要求填报机制电量执行方式。电网企业复核、确认后完成协议签订。公示项目逾期未签订协议的，视为自愿参与。</w:t>
      </w:r>
    </w:p>
    <w:p w:rsidR="005E484C" w:rsidRDefault="005E484C" w:rsidP="005E484C">
      <w:pPr>
        <w:pStyle w:val="a4"/>
        <w:adjustRightInd w:val="0"/>
        <w:snapToGrid w:val="0"/>
        <w:spacing w:line="59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第九条 【结算方式】</w:t>
      </w:r>
      <w:r>
        <w:rPr>
          <w:rFonts w:ascii="仿宋_GB2312" w:eastAsia="仿宋_GB2312" w:hAnsi="仿宋_GB2312" w:cs="仿宋_GB2312" w:hint="eastAsia"/>
          <w:color w:val="000000"/>
          <w:sz w:val="32"/>
          <w:szCs w:val="32"/>
        </w:rPr>
        <w:t>按照《青海省新能源可持续发展价格结算机制实施细则》相关要求执行。</w:t>
      </w:r>
    </w:p>
    <w:p w:rsidR="005E484C" w:rsidRDefault="005E484C" w:rsidP="005E484C">
      <w:pPr>
        <w:pStyle w:val="a4"/>
        <w:adjustRightInd w:val="0"/>
        <w:snapToGrid w:val="0"/>
        <w:spacing w:line="590"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第三章  保障机制</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kern w:val="0"/>
          <w:sz w:val="32"/>
          <w:szCs w:val="32"/>
          <w:shd w:val="clear" w:color="auto" w:fill="FFFFFF"/>
          <w:lang w:val="en-US"/>
        </w:rPr>
        <w:t>第十条</w:t>
      </w:r>
      <w:r>
        <w:rPr>
          <w:rFonts w:ascii="楷体" w:eastAsia="楷体" w:hAnsi="楷体" w:cs="仿宋_GB2312" w:hint="eastAsia"/>
          <w:b/>
          <w:bCs/>
          <w:sz w:val="32"/>
          <w:szCs w:val="32"/>
        </w:rPr>
        <w:t xml:space="preserve"> </w:t>
      </w:r>
      <w:r>
        <w:rPr>
          <w:rFonts w:ascii="仿宋_GB2312" w:eastAsia="仿宋_GB2312" w:hAnsi="仿宋_GB2312" w:cs="仿宋_GB2312" w:hint="eastAsia"/>
          <w:color w:val="000000"/>
          <w:sz w:val="32"/>
          <w:szCs w:val="32"/>
        </w:rPr>
        <w:t>存量项目经营主体应严格遵守国家相关规定及电力市场规则，积极主动参与市场竞争，自觉维护市场秩序，依法合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参与</w:t>
      </w:r>
      <w:r>
        <w:rPr>
          <w:rFonts w:ascii="仿宋_GB2312" w:eastAsia="仿宋_GB2312" w:hAnsi="仿宋_GB2312" w:cs="仿宋_GB2312" w:hint="eastAsia"/>
          <w:color w:val="000000"/>
          <w:sz w:val="32"/>
          <w:szCs w:val="32"/>
          <w:lang w:val="en-US"/>
        </w:rPr>
        <w:t>电力市场交易</w:t>
      </w:r>
      <w:r>
        <w:rPr>
          <w:rFonts w:ascii="仿宋_GB2312" w:eastAsia="仿宋_GB2312" w:hAnsi="仿宋_GB2312" w:cs="仿宋_GB2312" w:hint="eastAsia"/>
          <w:color w:val="000000"/>
          <w:sz w:val="32"/>
          <w:szCs w:val="32"/>
        </w:rPr>
        <w:t>。电网企业要严守保密规定，做</w:t>
      </w:r>
      <w:r>
        <w:rPr>
          <w:rFonts w:ascii="仿宋_GB2312" w:eastAsia="仿宋_GB2312" w:hAnsi="仿宋_GB2312" w:cs="仿宋_GB2312" w:hint="eastAsia"/>
          <w:color w:val="000000"/>
          <w:sz w:val="32"/>
          <w:szCs w:val="32"/>
        </w:rPr>
        <w:lastRenderedPageBreak/>
        <w:t>好组织工作。</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第四章  附则</w:t>
      </w:r>
    </w:p>
    <w:p w:rsidR="005E484C" w:rsidRDefault="005E484C" w:rsidP="005E484C">
      <w:pPr>
        <w:spacing w:line="576" w:lineRule="exact"/>
        <w:ind w:firstLineChars="200" w:firstLine="640"/>
        <w:rPr>
          <w:rFonts w:ascii="楷体" w:eastAsia="楷体" w:hAnsi="楷体" w:cs="楷体"/>
          <w:b/>
          <w:bCs/>
          <w:kern w:val="0"/>
          <w:szCs w:val="32"/>
          <w:shd w:val="clear" w:color="auto" w:fill="FFFFFF"/>
        </w:rPr>
      </w:pPr>
      <w:r>
        <w:rPr>
          <w:rFonts w:ascii="楷体_GB2312" w:eastAsia="楷体_GB2312" w:hAnsi="楷体_GB2312" w:cs="楷体_GB2312" w:hint="eastAsia"/>
          <w:kern w:val="0"/>
          <w:szCs w:val="32"/>
          <w:shd w:val="clear" w:color="auto" w:fill="FFFFFF"/>
        </w:rPr>
        <w:t>第十一条</w:t>
      </w:r>
      <w:r>
        <w:rPr>
          <w:rFonts w:ascii="仿宋_GB2312" w:hAnsi="仿宋_GB2312" w:cs="仿宋_GB2312" w:hint="eastAsia"/>
          <w:szCs w:val="32"/>
          <w:shd w:val="clear" w:color="auto" w:fill="FFFFFF"/>
        </w:rPr>
        <w:t xml:space="preserve"> 本细则相关规定</w:t>
      </w:r>
      <w:r>
        <w:rPr>
          <w:rFonts w:ascii="仿宋_GB2312" w:hAnsi="仿宋_GB2312" w:cs="仿宋_GB2312" w:hint="eastAsia"/>
          <w:szCs w:val="32"/>
          <w:lang w:bidi="ar"/>
        </w:rPr>
        <w:t>如遇国家政策调整，按国家政策执行。</w:t>
      </w:r>
      <w:r>
        <w:rPr>
          <w:rFonts w:ascii="仿宋_GB2312" w:hAnsi="仿宋_GB2312" w:cs="仿宋_GB2312" w:hint="eastAsia"/>
          <w:szCs w:val="32"/>
          <w:shd w:val="clear" w:color="auto" w:fill="FFFFFF"/>
        </w:rPr>
        <w:t>省内现行政策规定与本细则不符的，以本细则为准。</w:t>
      </w:r>
    </w:p>
    <w:p w:rsidR="005E484C" w:rsidRDefault="005E484C" w:rsidP="005E484C">
      <w:pPr>
        <w:spacing w:line="576"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第十二条</w:t>
      </w:r>
      <w:r>
        <w:rPr>
          <w:rFonts w:ascii="楷体" w:eastAsia="楷体" w:hAnsi="楷体" w:cs="楷体" w:hint="eastAsia"/>
          <w:b/>
          <w:bCs/>
          <w:kern w:val="0"/>
          <w:szCs w:val="32"/>
          <w:shd w:val="clear" w:color="auto" w:fill="FFFFFF"/>
        </w:rPr>
        <w:t xml:space="preserve"> </w:t>
      </w:r>
      <w:r>
        <w:rPr>
          <w:rFonts w:ascii="仿宋_GB2312" w:hAnsi="仿宋_GB2312" w:cs="仿宋_GB2312" w:hint="eastAsia"/>
          <w:szCs w:val="32"/>
          <w:lang w:bidi="ar"/>
        </w:rPr>
        <w:t>本细则由省发展改革委、国家能源局西北监管局、省能源局按职责分工解释。</w:t>
      </w: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p w:rsidR="005E484C" w:rsidRDefault="005E484C" w:rsidP="005E484C">
      <w:pPr>
        <w:pStyle w:val="a4"/>
        <w:spacing w:line="576" w:lineRule="exact"/>
        <w:ind w:firstLine="640"/>
        <w:rPr>
          <w:rFonts w:ascii="仿宋_GB2312" w:eastAsia="仿宋_GB2312" w:hAnsi="仿宋_GB2312" w:cs="仿宋_GB2312"/>
          <w:color w:val="000000"/>
          <w:sz w:val="32"/>
          <w:szCs w:val="32"/>
        </w:rPr>
      </w:pPr>
    </w:p>
    <w:sectPr w:rsidR="005E4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61C8B"/>
    <w:multiLevelType w:val="singleLevel"/>
    <w:tmpl w:val="7E461C8B"/>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4C"/>
    <w:rsid w:val="005E484C"/>
    <w:rsid w:val="00E2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F1686-2993-4C01-B707-A23DD06C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4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5E484C"/>
  </w:style>
  <w:style w:type="character" w:customStyle="1" w:styleId="Char">
    <w:name w:val="正文文本 Char"/>
    <w:basedOn w:val="a0"/>
    <w:link w:val="a3"/>
    <w:rsid w:val="005E484C"/>
    <w:rPr>
      <w:rFonts w:ascii="Times New Roman" w:eastAsia="仿宋_GB2312" w:hAnsi="Times New Roman" w:cs="Times New Roman"/>
      <w:sz w:val="32"/>
      <w:szCs w:val="24"/>
    </w:rPr>
  </w:style>
  <w:style w:type="paragraph" w:styleId="a4">
    <w:name w:val="List Paragraph"/>
    <w:basedOn w:val="a"/>
    <w:qFormat/>
    <w:rsid w:val="005E484C"/>
    <w:pPr>
      <w:ind w:firstLineChars="200" w:firstLine="420"/>
    </w:pPr>
    <w:rPr>
      <w:rFonts w:ascii="Calibri" w:eastAsia="宋体" w:hAnsi="Calibri"/>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1531</Characters>
  <Application>Microsoft Office Word</Application>
  <DocSecurity>0</DocSecurity>
  <Lines>12</Lines>
  <Paragraphs>3</Paragraphs>
  <ScaleCrop>false</ScaleCrop>
  <Company>contost</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信息资源开发部</dc:creator>
  <cp:keywords/>
  <dc:description/>
  <cp:lastModifiedBy>信息资源开发部</cp:lastModifiedBy>
  <cp:revision>1</cp:revision>
  <dcterms:created xsi:type="dcterms:W3CDTF">2025-10-09T05:05:00Z</dcterms:created>
  <dcterms:modified xsi:type="dcterms:W3CDTF">2025-10-09T05:07:00Z</dcterms:modified>
</cp:coreProperties>
</file>