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微软雅黑" w:hAnsi="微软雅黑" w:eastAsia="微软雅黑" w:cs="微软雅黑"/>
          <w:b/>
          <w:i w:val="0"/>
          <w:strike w:val="0"/>
          <w:color w:val="000000"/>
          <w:sz w:val="36"/>
          <w:szCs w:val="36"/>
          <w:u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微软雅黑" w:hAnsi="微软雅黑" w:eastAsia="微软雅黑" w:cs="微软雅黑"/>
          <w:b/>
          <w:i w:val="0"/>
          <w:strike w:val="0"/>
          <w:color w:val="000000"/>
          <w:sz w:val="36"/>
          <w:szCs w:val="36"/>
          <w:u w:val="none"/>
          <w:lang w:val="en-US" w:eastAsia="zh-CN"/>
        </w:rPr>
      </w:pPr>
      <w:r>
        <w:rPr>
          <w:rFonts w:hint="eastAsia" w:ascii="微软雅黑" w:hAnsi="微软雅黑" w:eastAsia="微软雅黑" w:cs="微软雅黑"/>
          <w:b/>
          <w:i w:val="0"/>
          <w:strike w:val="0"/>
          <w:color w:val="000000"/>
          <w:sz w:val="36"/>
          <w:szCs w:val="36"/>
          <w:u w:val="none"/>
          <w:lang w:val="en-US" w:eastAsia="zh-CN"/>
        </w:rPr>
        <w:t>机制电价竞价平台操作手册</w:t>
      </w: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right"/>
        <w:textAlignment w:val="auto"/>
        <w:rPr>
          <w:rFonts w:hint="eastAsia" w:ascii="微软雅黑" w:hAnsi="微软雅黑" w:eastAsia="微软雅黑" w:cs="微软雅黑"/>
          <w:b/>
          <w:i w:val="0"/>
          <w:strike w:val="0"/>
          <w:color w:val="000000"/>
          <w:sz w:val="36"/>
          <w:szCs w:val="36"/>
          <w:u w:val="none"/>
          <w:lang w:val="en-US" w:eastAsia="zh-CN"/>
        </w:rPr>
      </w:pPr>
      <w:r>
        <w:rPr>
          <w:rFonts w:hint="eastAsia" w:ascii="微软雅黑" w:hAnsi="微软雅黑" w:eastAsia="微软雅黑" w:cs="微软雅黑"/>
          <w:b/>
          <w:i w:val="0"/>
          <w:strike w:val="0"/>
          <w:color w:val="000000"/>
          <w:sz w:val="36"/>
          <w:szCs w:val="36"/>
          <w:u w:val="none"/>
          <w:lang w:val="en-US" w:eastAsia="zh-CN"/>
        </w:rPr>
        <w:t>——面向竞价申报主体</w:t>
      </w: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right"/>
        <w:textAlignment w:val="auto"/>
        <w:rPr>
          <w:rFonts w:hint="eastAsia" w:ascii="微软雅黑" w:hAnsi="微软雅黑" w:eastAsia="微软雅黑" w:cs="微软雅黑"/>
          <w:b/>
          <w:i w:val="0"/>
          <w:strike w:val="0"/>
          <w:color w:val="000000"/>
          <w:sz w:val="36"/>
          <w:szCs w:val="36"/>
          <w:u w:val="none"/>
          <w:lang w:val="en-US" w:eastAsia="zh-CN"/>
        </w:rPr>
      </w:pPr>
      <w:r>
        <w:rPr>
          <w:sz w:val="36"/>
        </w:rPr>
        <mc:AlternateContent>
          <mc:Choice Requires="wps">
            <w:drawing>
              <wp:anchor distT="0" distB="0" distL="114300" distR="114300" simplePos="0" relativeHeight="251659264" behindDoc="0" locked="0" layoutInCell="1" allowOverlap="1">
                <wp:simplePos x="0" y="0"/>
                <wp:positionH relativeFrom="column">
                  <wp:posOffset>-64770</wp:posOffset>
                </wp:positionH>
                <wp:positionV relativeFrom="paragraph">
                  <wp:posOffset>211455</wp:posOffset>
                </wp:positionV>
                <wp:extent cx="5467985" cy="868045"/>
                <wp:effectExtent l="4445" t="4445" r="13970" b="16510"/>
                <wp:wrapNone/>
                <wp:docPr id="18" name="文本框 18"/>
                <wp:cNvGraphicFramePr/>
                <a:graphic xmlns:a="http://schemas.openxmlformats.org/drawingml/2006/main">
                  <a:graphicData uri="http://schemas.microsoft.com/office/word/2010/wordprocessingShape">
                    <wps:wsp>
                      <wps:cNvSpPr txBox="1"/>
                      <wps:spPr>
                        <a:xfrm>
                          <a:off x="1064260" y="2588895"/>
                          <a:ext cx="5467985" cy="868045"/>
                        </a:xfrm>
                        <a:prstGeom prst="rect">
                          <a:avLst/>
                        </a:prstGeom>
                        <a:solidFill>
                          <a:schemeClr val="lt1"/>
                        </a:solidFill>
                        <a:ln w="6350">
                          <a:solidFill>
                            <a:srgbClr val="5454FF"/>
                          </a:solidFill>
                          <a:prstDash val="dash"/>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bCs w:val="0"/>
                                <w:sz w:val="24"/>
                                <w:szCs w:val="28"/>
                                <w:lang w:val="en-US" w:eastAsia="zh-CN"/>
                              </w:rPr>
                            </w:pPr>
                            <w:r>
                              <w:rPr>
                                <w:rFonts w:hint="eastAsia" w:ascii="仿宋_GB2312" w:hAnsi="仿宋_GB2312" w:eastAsia="仿宋_GB2312" w:cs="仿宋_GB2312"/>
                                <w:bCs w:val="0"/>
                                <w:color w:val="0000FF"/>
                                <w:sz w:val="24"/>
                                <w:szCs w:val="28"/>
                                <w:lang w:val="en-US" w:eastAsia="zh-CN"/>
                              </w:rPr>
                              <w:t>注意</w:t>
                            </w:r>
                            <w:r>
                              <w:rPr>
                                <w:rFonts w:hint="eastAsia" w:ascii="仿宋_GB2312" w:hAnsi="仿宋_GB2312" w:eastAsia="仿宋_GB2312" w:cs="仿宋_GB2312"/>
                                <w:bCs w:val="0"/>
                                <w:sz w:val="24"/>
                                <w:szCs w:val="28"/>
                                <w:lang w:val="en-US" w:eastAsia="zh-CN"/>
                              </w:rPr>
                              <w:t>：在进行竞价申报时，建议您提前清理浏览器缓存</w:t>
                            </w:r>
                            <w:r>
                              <w:rPr>
                                <w:rFonts w:hint="eastAsia" w:ascii="仿宋_GB2312" w:hAnsi="仿宋_GB2312" w:cs="仿宋_GB2312"/>
                                <w:bCs w:val="0"/>
                                <w:sz w:val="24"/>
                                <w:szCs w:val="28"/>
                                <w:lang w:val="en-US" w:eastAsia="zh-CN"/>
                              </w:rPr>
                              <w:t>；</w:t>
                            </w:r>
                            <w:r>
                              <w:rPr>
                                <w:rFonts w:hint="eastAsia" w:ascii="仿宋_GB2312" w:hAnsi="仿宋_GB2312" w:eastAsia="仿宋_GB2312" w:cs="仿宋_GB2312"/>
                                <w:bCs w:val="0"/>
                                <w:sz w:val="24"/>
                                <w:szCs w:val="28"/>
                                <w:lang w:val="en-US" w:eastAsia="zh-CN"/>
                              </w:rPr>
                              <w:t>优先选用谷歌浏览器，以获得更流畅、稳定的操作体验。</w:t>
                            </w:r>
                            <w:r>
                              <w:rPr>
                                <w:rFonts w:hint="eastAsia" w:ascii="仿宋_GB2312" w:hAnsi="仿宋_GB2312" w:eastAsia="仿宋_GB2312" w:cs="仿宋_GB2312"/>
                                <w:bCs w:val="0"/>
                                <w:sz w:val="24"/>
                                <w:szCs w:val="28"/>
                              </w:rPr>
                              <w:t>同时，为避免兼容性问题影响申报流程，请尽量避免使用IE浏览器。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16.65pt;height:68.35pt;width:430.55pt;z-index:251659264;mso-width-relative:page;mso-height-relative:page;" fillcolor="#FFFFFF [3201]" filled="t" stroked="t" coordsize="21600,21600" o:gfxdata="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CBDTPYAAAACgEAAA8AAAAAAAAAAQAgAAAAIgAAAGRycy9kb3du&#10;cmV2LnhtbFBLAQIUABQAAAAIAIdO4kCIxQCLcQIAAN4EAAAOAAAAAAAAAAEAIAAAACcBAABkcnMv&#10;ZTJvRG9jLnhtbFBLBQYAAAAABgAGAFkBAAAKBgAAAAA=&#10;">
                <v:fill on="t" focussize="0,0"/>
                <v:stroke weight="0.5pt" color="#5454FF [3204]"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bCs w:val="0"/>
                          <w:sz w:val="24"/>
                          <w:szCs w:val="28"/>
                          <w:lang w:val="en-US" w:eastAsia="zh-CN"/>
                        </w:rPr>
                      </w:pPr>
                      <w:r>
                        <w:rPr>
                          <w:rFonts w:hint="eastAsia" w:ascii="仿宋_GB2312" w:hAnsi="仿宋_GB2312" w:eastAsia="仿宋_GB2312" w:cs="仿宋_GB2312"/>
                          <w:bCs w:val="0"/>
                          <w:color w:val="0000FF"/>
                          <w:sz w:val="24"/>
                          <w:szCs w:val="28"/>
                          <w:lang w:val="en-US" w:eastAsia="zh-CN"/>
                        </w:rPr>
                        <w:t>注意</w:t>
                      </w:r>
                      <w:r>
                        <w:rPr>
                          <w:rFonts w:hint="eastAsia" w:ascii="仿宋_GB2312" w:hAnsi="仿宋_GB2312" w:eastAsia="仿宋_GB2312" w:cs="仿宋_GB2312"/>
                          <w:bCs w:val="0"/>
                          <w:sz w:val="24"/>
                          <w:szCs w:val="28"/>
                          <w:lang w:val="en-US" w:eastAsia="zh-CN"/>
                        </w:rPr>
                        <w:t>：在进行竞价申报时，建议您提前清理浏览器缓存</w:t>
                      </w:r>
                      <w:r>
                        <w:rPr>
                          <w:rFonts w:hint="eastAsia" w:ascii="仿宋_GB2312" w:hAnsi="仿宋_GB2312" w:cs="仿宋_GB2312"/>
                          <w:bCs w:val="0"/>
                          <w:sz w:val="24"/>
                          <w:szCs w:val="28"/>
                          <w:lang w:val="en-US" w:eastAsia="zh-CN"/>
                        </w:rPr>
                        <w:t>；</w:t>
                      </w:r>
                      <w:r>
                        <w:rPr>
                          <w:rFonts w:hint="eastAsia" w:ascii="仿宋_GB2312" w:hAnsi="仿宋_GB2312" w:eastAsia="仿宋_GB2312" w:cs="仿宋_GB2312"/>
                          <w:bCs w:val="0"/>
                          <w:sz w:val="24"/>
                          <w:szCs w:val="28"/>
                          <w:lang w:val="en-US" w:eastAsia="zh-CN"/>
                        </w:rPr>
                        <w:t>优先选用谷歌浏览器，以获得更流畅、稳定的操作体验。</w:t>
                      </w:r>
                      <w:r>
                        <w:rPr>
                          <w:rFonts w:hint="eastAsia" w:ascii="仿宋_GB2312" w:hAnsi="仿宋_GB2312" w:eastAsia="仿宋_GB2312" w:cs="仿宋_GB2312"/>
                          <w:bCs w:val="0"/>
                          <w:sz w:val="24"/>
                          <w:szCs w:val="28"/>
                        </w:rPr>
                        <w:t>同时，为避免兼容性问题影响申报流程，请尽量避免使用IE浏览器。</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right"/>
        <w:textAlignment w:val="auto"/>
        <w:rPr>
          <w:rFonts w:hint="eastAsia" w:ascii="微软雅黑" w:hAnsi="微软雅黑" w:eastAsia="微软雅黑" w:cs="微软雅黑"/>
          <w:b/>
          <w:i w:val="0"/>
          <w:strike w:val="0"/>
          <w:color w:val="000000"/>
          <w:sz w:val="36"/>
          <w:szCs w:val="36"/>
          <w:u w:val="none"/>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right"/>
        <w:textAlignment w:val="auto"/>
        <w:rPr>
          <w:rFonts w:hint="eastAsia" w:ascii="微软雅黑" w:hAnsi="微软雅黑" w:eastAsia="微软雅黑" w:cs="微软雅黑"/>
          <w:b/>
          <w:i w:val="0"/>
          <w:strike w:val="0"/>
          <w:color w:val="000000"/>
          <w:sz w:val="36"/>
          <w:szCs w:val="36"/>
          <w:u w:val="none"/>
          <w:lang w:val="en-US" w:eastAsia="zh-CN"/>
        </w:rPr>
      </w:pP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登录注册</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Cs w:val="0"/>
          <w:sz w:val="24"/>
          <w:szCs w:val="28"/>
        </w:rPr>
      </w:pPr>
      <w:r>
        <w:rPr>
          <w:rFonts w:hint="eastAsia" w:ascii="仿宋_GB2312" w:hAnsi="仿宋_GB2312" w:eastAsia="仿宋_GB2312" w:cs="仿宋_GB2312"/>
          <w:bCs w:val="0"/>
          <w:sz w:val="24"/>
          <w:szCs w:val="28"/>
        </w:rPr>
        <w:t>访问国网新能源云平台：</w:t>
      </w:r>
      <w:r>
        <w:rPr>
          <w:rFonts w:hint="eastAsia" w:ascii="仿宋_GB2312" w:hAnsi="仿宋_GB2312" w:eastAsia="仿宋_GB2312" w:cs="仿宋_GB2312"/>
          <w:bCs w:val="0"/>
          <w:color w:val="0000FF"/>
          <w:sz w:val="24"/>
          <w:szCs w:val="28"/>
        </w:rPr>
        <w:fldChar w:fldCharType="begin"/>
      </w:r>
      <w:r>
        <w:rPr>
          <w:rFonts w:hint="eastAsia" w:ascii="仿宋_GB2312" w:hAnsi="仿宋_GB2312" w:eastAsia="仿宋_GB2312" w:cs="仿宋_GB2312"/>
          <w:bCs w:val="0"/>
          <w:color w:val="0000FF"/>
          <w:sz w:val="24"/>
          <w:szCs w:val="28"/>
        </w:rPr>
        <w:instrText xml:space="preserve">HYPERLINK http://sgnec.sgcc.com.cn normalLink \tdft \tdfe -10 \tdfid \tddp \tdop \tdlt inline \tdds \tdfvi \tdlf \l \tdsub normalLink \tdkey h7hyht \tdkey h7hyht</w:instrText>
      </w:r>
      <w:r>
        <w:rPr>
          <w:rFonts w:hint="eastAsia" w:ascii="仿宋_GB2312" w:hAnsi="仿宋_GB2312" w:eastAsia="仿宋_GB2312" w:cs="仿宋_GB2312"/>
          <w:bCs w:val="0"/>
          <w:color w:val="0000FF"/>
          <w:sz w:val="24"/>
          <w:szCs w:val="28"/>
        </w:rPr>
        <w:fldChar w:fldCharType="separate"/>
      </w:r>
      <w:r>
        <w:rPr>
          <w:rStyle w:val="38"/>
          <w:rFonts w:hint="eastAsia" w:ascii="仿宋_GB2312" w:hAnsi="仿宋_GB2312" w:eastAsia="仿宋_GB2312" w:cs="仿宋_GB2312"/>
          <w:bCs w:val="0"/>
          <w:color w:val="0000FF"/>
          <w:sz w:val="24"/>
          <w:szCs w:val="28"/>
        </w:rPr>
        <w:t>http://sgnec.sgcc.com.cn</w:t>
      </w:r>
      <w:r>
        <w:rPr>
          <w:rFonts w:hint="eastAsia" w:ascii="仿宋_GB2312" w:hAnsi="仿宋_GB2312" w:eastAsia="仿宋_GB2312" w:cs="仿宋_GB2312"/>
          <w:bCs w:val="0"/>
          <w:color w:val="0000FF"/>
          <w:sz w:val="24"/>
          <w:szCs w:val="28"/>
        </w:rPr>
        <w:fldChar w:fldCharType="end"/>
      </w:r>
      <w:r>
        <w:rPr>
          <w:rFonts w:hint="eastAsia" w:ascii="仿宋_GB2312" w:hAnsi="仿宋_GB2312" w:eastAsia="仿宋_GB2312" w:cs="仿宋_GB2312"/>
          <w:bCs w:val="0"/>
          <w:sz w:val="24"/>
          <w:szCs w:val="28"/>
        </w:rPr>
        <w:t>，点击登录进入登录页面。已注册用户可以直接登录，未注册用户需要先进行注册。</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bCs w:val="0"/>
          <w:sz w:val="24"/>
          <w:szCs w:val="28"/>
        </w:rPr>
      </w:pPr>
      <w:r>
        <w:drawing>
          <wp:inline distT="0" distB="0" distL="114300" distR="114300">
            <wp:extent cx="5262880" cy="2717800"/>
            <wp:effectExtent l="9525" t="9525" r="10795" b="1587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8"/>
                    <a:stretch>
                      <a:fillRect/>
                    </a:stretch>
                  </pic:blipFill>
                  <pic:spPr>
                    <a:xfrm>
                      <a:off x="0" y="0"/>
                      <a:ext cx="5262880" cy="2717800"/>
                    </a:xfrm>
                    <a:prstGeom prst="rect">
                      <a:avLst/>
                    </a:prstGeom>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57800" cy="2124075"/>
            <wp:effectExtent l="9525" t="9525" r="15875" b="1270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257800" cy="2124075"/>
                    </a:xfrm>
                    <a:prstGeom prst="rect">
                      <a:avLst/>
                    </a:prstGeom>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8120" cy="2172970"/>
            <wp:effectExtent l="9525" t="9525" r="20955" b="146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0"/>
                    <a:stretch>
                      <a:fillRect/>
                    </a:stretch>
                  </pic:blipFill>
                  <pic:spPr>
                    <a:xfrm>
                      <a:off x="0" y="0"/>
                      <a:ext cx="5278120" cy="2173129"/>
                    </a:xfrm>
                    <a:prstGeom prst="rect">
                      <a:avLst/>
                    </a:prstGeom>
                    <a:ln w="6350">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企业入驻</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Cs w:val="0"/>
          <w:sz w:val="24"/>
          <w:szCs w:val="28"/>
        </w:rPr>
      </w:pPr>
      <w:r>
        <w:rPr>
          <w:rFonts w:hint="eastAsia" w:ascii="仿宋_GB2312" w:hAnsi="仿宋_GB2312" w:eastAsia="仿宋_GB2312" w:cs="仿宋_GB2312"/>
          <w:b/>
          <w:bCs/>
          <w:sz w:val="24"/>
          <w:szCs w:val="28"/>
          <w:lang w:val="en-US" w:eastAsia="zh-CN"/>
        </w:rPr>
        <w:t>操作路径</w:t>
      </w:r>
      <w:r>
        <w:rPr>
          <w:rFonts w:hint="eastAsia" w:ascii="仿宋_GB2312" w:hAnsi="仿宋_GB2312" w:eastAsia="仿宋_GB2312" w:cs="仿宋_GB2312"/>
          <w:bCs w:val="0"/>
          <w:sz w:val="24"/>
          <w:szCs w:val="28"/>
          <w:lang w:val="en-US" w:eastAsia="zh-CN"/>
        </w:rPr>
        <w:t>：外网</w:t>
      </w:r>
      <w:r>
        <w:rPr>
          <w:rFonts w:hint="eastAsia" w:ascii="仿宋_GB2312" w:hAnsi="仿宋_GB2312" w:cs="仿宋_GB2312"/>
          <w:bCs w:val="0"/>
          <w:sz w:val="24"/>
          <w:szCs w:val="28"/>
          <w:lang w:val="en-US" w:eastAsia="zh-CN"/>
        </w:rPr>
        <w:t xml:space="preserve"> </w:t>
      </w:r>
      <w:r>
        <w:rPr>
          <w:rFonts w:hint="eastAsia" w:ascii="仿宋_GB2312" w:hAnsi="仿宋_GB2312" w:eastAsia="仿宋_GB2312" w:cs="仿宋_GB2312"/>
          <w:bCs w:val="0"/>
          <w:sz w:val="24"/>
          <w:szCs w:val="28"/>
          <w:lang w:val="en-US" w:eastAsia="zh-CN"/>
        </w:rPr>
        <w:t>-</w:t>
      </w:r>
      <w:r>
        <w:rPr>
          <w:rFonts w:hint="eastAsia" w:ascii="仿宋_GB2312" w:hAnsi="仿宋_GB2312" w:cs="仿宋_GB2312"/>
          <w:bCs w:val="0"/>
          <w:sz w:val="24"/>
          <w:szCs w:val="28"/>
          <w:lang w:val="en-US" w:eastAsia="zh-CN"/>
        </w:rPr>
        <w:t xml:space="preserve"> </w:t>
      </w:r>
      <w:r>
        <w:rPr>
          <w:rFonts w:hint="eastAsia" w:ascii="仿宋_GB2312" w:hAnsi="仿宋_GB2312" w:eastAsia="仿宋_GB2312" w:cs="仿宋_GB2312"/>
          <w:bCs w:val="0"/>
          <w:sz w:val="24"/>
          <w:szCs w:val="28"/>
          <w:lang w:val="en-US" w:eastAsia="zh-CN"/>
        </w:rPr>
        <w:t xml:space="preserve">设置菜单 - </w:t>
      </w:r>
      <w:r>
        <w:rPr>
          <w:rFonts w:hint="eastAsia" w:ascii="仿宋_GB2312" w:hAnsi="仿宋_GB2312" w:eastAsia="仿宋_GB2312" w:cs="仿宋_GB2312"/>
          <w:bCs w:val="0"/>
          <w:sz w:val="24"/>
          <w:szCs w:val="28"/>
        </w:rPr>
        <w:t>企业入驻</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Cs w:val="0"/>
          <w:sz w:val="24"/>
          <w:szCs w:val="28"/>
        </w:rPr>
      </w:pPr>
      <w:r>
        <w:rPr>
          <w:rFonts w:hint="eastAsia" w:ascii="仿宋_GB2312" w:hAnsi="仿宋_GB2312" w:eastAsia="仿宋_GB2312" w:cs="仿宋_GB2312"/>
          <w:bCs w:val="0"/>
          <w:sz w:val="24"/>
          <w:szCs w:val="28"/>
        </w:rPr>
        <w:t>用户登录后需完成</w:t>
      </w:r>
      <w:r>
        <w:rPr>
          <w:rFonts w:hint="eastAsia" w:ascii="仿宋_GB2312" w:hAnsi="仿宋_GB2312" w:eastAsia="仿宋_GB2312" w:cs="仿宋_GB2312"/>
          <w:bCs w:val="0"/>
          <w:sz w:val="24"/>
          <w:szCs w:val="28"/>
          <w:lang w:val="en-US" w:eastAsia="zh-CN"/>
        </w:rPr>
        <w:t xml:space="preserve"> </w:t>
      </w:r>
      <w:r>
        <w:rPr>
          <w:rFonts w:hint="eastAsia" w:ascii="仿宋_GB2312" w:hAnsi="仿宋_GB2312" w:eastAsia="仿宋_GB2312" w:cs="仿宋_GB2312"/>
          <w:bCs w:val="0"/>
          <w:sz w:val="24"/>
          <w:szCs w:val="28"/>
        </w:rPr>
        <w:t>企业入驻认证，通过审核后方可进行项目维护及竞价申报。</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i w:val="0"/>
          <w:strike w:val="0"/>
          <w:color w:val="000000"/>
          <w:sz w:val="21"/>
          <w:u w:val="none"/>
        </w:rPr>
      </w:pPr>
      <w:r>
        <w:rPr>
          <w:rFonts w:hint="eastAsia" w:ascii="仿宋_GB2312" w:hAnsi="仿宋_GB2312" w:eastAsia="仿宋_GB2312" w:cs="仿宋_GB2312"/>
          <w:i w:val="0"/>
          <w:strike w:val="0"/>
          <w:color w:val="000000"/>
          <w:sz w:val="21"/>
          <w:u w:val="none"/>
        </w:rPr>
        <w:drawing>
          <wp:inline distT="0" distB="0" distL="0" distR="0">
            <wp:extent cx="5278120" cy="1461770"/>
            <wp:effectExtent l="9525" t="9525" r="20955" b="1460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1"/>
                    <a:stretch>
                      <a:fillRect/>
                    </a:stretch>
                  </pic:blipFill>
                  <pic:spPr>
                    <a:xfrm>
                      <a:off x="0" y="0"/>
                      <a:ext cx="5278120" cy="1461770"/>
                    </a:xfrm>
                    <a:prstGeom prst="rect">
                      <a:avLst/>
                    </a:prstGeom>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Cs w:val="0"/>
          <w:sz w:val="24"/>
          <w:szCs w:val="28"/>
        </w:rPr>
      </w:pPr>
      <w:r>
        <w:rPr>
          <w:rFonts w:hint="eastAsia" w:ascii="仿宋_GB2312" w:hAnsi="仿宋_GB2312" w:eastAsia="仿宋_GB2312" w:cs="仿宋_GB2312"/>
          <w:bCs w:val="0"/>
          <w:sz w:val="24"/>
          <w:szCs w:val="28"/>
        </w:rPr>
        <w:t>在企业入驻申请页面填报企业基本信息，提交后等待审核。审核不通过则需要修改后重新提交。</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8120" cy="2268855"/>
            <wp:effectExtent l="9525" t="9525" r="20955" b="2032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2"/>
                    <a:stretch>
                      <a:fillRect/>
                    </a:stretch>
                  </pic:blipFill>
                  <pic:spPr>
                    <a:xfrm>
                      <a:off x="0" y="0"/>
                      <a:ext cx="5278120" cy="2268855"/>
                    </a:xfrm>
                    <a:prstGeom prst="rect">
                      <a:avLst/>
                    </a:prstGeom>
                    <a:ln w="6350">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项目维护</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外网</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规划建设</w:t>
      </w:r>
      <w:r>
        <w:rPr>
          <w:rFonts w:hint="eastAsia" w:ascii="仿宋_GB2312" w:hAnsi="仿宋_GB2312" w:eastAsia="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接入并网管理</w:t>
      </w:r>
      <w:r>
        <w:rPr>
          <w:rFonts w:hint="eastAsia" w:ascii="仿宋_GB2312" w:hAnsi="仿宋_GB2312" w:eastAsia="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项目维护</w:t>
      </w:r>
    </w:p>
    <w:p>
      <w:pPr>
        <w:keepNext w:val="0"/>
        <w:keepLines w:val="0"/>
        <w:pageBreakBefore w:val="0"/>
        <w:widowControl w:val="0"/>
        <w:pBdr>
          <w:bottom w:val="none" w:color="auto" w:sz="0" w:space="0"/>
        </w:pBd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rPr>
        <w:t>项目需在系统中完成新增维护后，方可进行后续资质申请及竞价操作。</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1）</w:t>
      </w: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新增</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按钮</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弹出项目信息填报页面。</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eastAsia="zh-CN"/>
        </w:rPr>
      </w:pPr>
      <w:r>
        <w:rPr>
          <w:rFonts w:hint="eastAsia" w:ascii="仿宋_GB2312" w:hAnsi="仿宋_GB2312" w:eastAsia="仿宋_GB2312" w:cs="仿宋_GB2312"/>
          <w:b w:val="0"/>
          <w:bCs w:val="0"/>
          <w:sz w:val="24"/>
          <w:szCs w:val="28"/>
          <w:lang w:val="en-US" w:eastAsia="zh-CN"/>
        </w:rPr>
        <w:t>2）逐项填写以下页签内容（标</w:t>
      </w:r>
      <w:r>
        <w:rPr>
          <w:rFonts w:hint="eastAsia" w:ascii="仿宋_GB2312" w:hAnsi="仿宋_GB2312" w:eastAsia="仿宋_GB2312" w:cs="仿宋_GB2312"/>
          <w:b w:val="0"/>
          <w:bCs w:val="0"/>
          <w:color w:val="FF0000"/>
          <w:sz w:val="24"/>
          <w:szCs w:val="28"/>
          <w:lang w:val="en-US" w:eastAsia="zh-CN"/>
        </w:rPr>
        <w:t>*</w:t>
      </w:r>
      <w:r>
        <w:rPr>
          <w:rFonts w:hint="eastAsia" w:ascii="仿宋_GB2312" w:hAnsi="仿宋_GB2312" w:eastAsia="仿宋_GB2312" w:cs="仿宋_GB2312"/>
          <w:b w:val="0"/>
          <w:bCs w:val="0"/>
          <w:sz w:val="24"/>
          <w:szCs w:val="28"/>
          <w:lang w:val="en-US" w:eastAsia="zh-CN"/>
        </w:rPr>
        <w:t>字段为必填项），</w:t>
      </w:r>
      <w:r>
        <w:rPr>
          <w:rFonts w:hint="eastAsia" w:ascii="仿宋_GB2312" w:hAnsi="仿宋_GB2312" w:eastAsia="仿宋_GB2312" w:cs="仿宋_GB2312"/>
          <w:b w:val="0"/>
          <w:bCs w:val="0"/>
          <w:sz w:val="24"/>
          <w:szCs w:val="28"/>
        </w:rPr>
        <w:t>包括企业信息、基本信息、纳规信息、核准备案信息、项目可研、电源本体建设进度、建设单位等</w:t>
      </w:r>
      <w:r>
        <w:rPr>
          <w:rFonts w:hint="eastAsia" w:ascii="仿宋_GB2312" w:hAnsi="仿宋_GB2312" w:eastAsia="仿宋_GB2312" w:cs="仿宋_GB2312"/>
          <w:b w:val="0"/>
          <w:bCs w:val="0"/>
          <w:sz w:val="24"/>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lang w:val="en-US" w:eastAsia="zh-CN"/>
        </w:rPr>
        <w:t>3）确认信息无误后，</w:t>
      </w: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提交</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完成新增</w:t>
      </w:r>
      <w:r>
        <w:rPr>
          <w:rFonts w:hint="eastAsia" w:ascii="仿宋_GB2312" w:hAnsi="仿宋_GB2312" w:eastAsia="仿宋_GB2312" w:cs="仿宋_GB2312"/>
          <w:b w:val="0"/>
          <w:bCs w:val="0"/>
          <w:sz w:val="24"/>
          <w:szCs w:val="28"/>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i w:val="0"/>
          <w:strike w:val="0"/>
          <w:color w:val="000000"/>
          <w:sz w:val="21"/>
          <w:u w:val="none"/>
        </w:rPr>
      </w:pPr>
      <w:r>
        <w:rPr>
          <w:rFonts w:hint="eastAsia" w:ascii="仿宋_GB2312" w:hAnsi="仿宋_GB2312" w:eastAsia="仿宋_GB2312" w:cs="仿宋_GB2312"/>
          <w:i w:val="0"/>
          <w:strike w:val="0"/>
          <w:color w:val="000000"/>
          <w:sz w:val="21"/>
          <w:u w:val="none"/>
        </w:rPr>
        <w:drawing>
          <wp:inline distT="0" distB="0" distL="0" distR="0">
            <wp:extent cx="5278120" cy="1944370"/>
            <wp:effectExtent l="9525" t="9525" r="20955" b="1460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278120" cy="1944370"/>
                    </a:xfrm>
                    <a:prstGeom prst="rect">
                      <a:avLst/>
                    </a:prstGeom>
                    <a:ln>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8120" cy="1848485"/>
            <wp:effectExtent l="9525" t="9525" r="20955" b="2159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278120" cy="1848485"/>
                    </a:xfrm>
                    <a:prstGeom prst="rect">
                      <a:avLst/>
                    </a:prstGeom>
                    <a:ln>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告知书签署</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外网</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机制电价竞价专区 - 告知书签署</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rPr>
        <w:t>发电企业须完成告知书签署方可参与后续竞价活动，未签署将无法进行资质申请等操作。</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b w:val="0"/>
          <w:bCs w:val="0"/>
          <w:sz w:val="24"/>
          <w:szCs w:val="28"/>
        </w:rPr>
        <w:t>1）</w:t>
      </w:r>
      <w:r>
        <w:rPr>
          <w:rFonts w:hint="eastAsia" w:ascii="仿宋_GB2312" w:hAnsi="仿宋_GB2312" w:eastAsia="仿宋_GB2312" w:cs="仿宋_GB2312"/>
          <w:b w:val="0"/>
          <w:bCs w:val="0"/>
          <w:sz w:val="24"/>
          <w:szCs w:val="28"/>
          <w:lang w:val="en-US" w:eastAsia="zh-CN"/>
        </w:rPr>
        <w:t>选择</w:t>
      </w:r>
      <w:r>
        <w:rPr>
          <w:rFonts w:hint="eastAsia" w:ascii="仿宋_GB2312" w:hAnsi="仿宋_GB2312" w:eastAsia="仿宋_GB2312" w:cs="仿宋_GB2312"/>
          <w:b w:val="0"/>
          <w:bCs w:val="0"/>
          <w:sz w:val="24"/>
          <w:szCs w:val="28"/>
        </w:rPr>
        <w:t>告知书签署板块，点击【</w:t>
      </w:r>
      <w:r>
        <w:rPr>
          <w:rFonts w:hint="eastAsia" w:ascii="仿宋_GB2312" w:hAnsi="仿宋_GB2312" w:eastAsia="仿宋_GB2312" w:cs="仿宋_GB2312"/>
          <w:b w:val="0"/>
          <w:bCs w:val="0"/>
          <w:color w:val="0000FF"/>
          <w:sz w:val="24"/>
          <w:szCs w:val="28"/>
        </w:rPr>
        <w:t>了解更多</w:t>
      </w:r>
      <w:r>
        <w:rPr>
          <w:rFonts w:hint="eastAsia" w:ascii="仿宋_GB2312" w:hAnsi="仿宋_GB2312" w:eastAsia="仿宋_GB2312" w:cs="仿宋_GB2312"/>
          <w:b w:val="0"/>
          <w:bCs w:val="0"/>
          <w:sz w:val="24"/>
          <w:szCs w:val="28"/>
        </w:rPr>
        <w:t>】进入告知书签署页面。</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67325" cy="1383030"/>
            <wp:effectExtent l="9525" t="9525" r="19050" b="17145"/>
            <wp:docPr id="20"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1"/>
                    <pic:cNvPicPr>
                      <a:picLocks noChangeAspect="1"/>
                    </pic:cNvPicPr>
                  </pic:nvPicPr>
                  <pic:blipFill>
                    <a:blip r:embed="rId15"/>
                    <a:srcRect t="48227" b="2273"/>
                    <a:stretch>
                      <a:fillRect/>
                    </a:stretch>
                  </pic:blipFill>
                  <pic:spPr>
                    <a:xfrm>
                      <a:off x="0" y="0"/>
                      <a:ext cx="5267325" cy="1383030"/>
                    </a:xfrm>
                    <a:prstGeom prst="rect">
                      <a:avLst/>
                    </a:prstGeom>
                    <a:ln>
                      <a:solidFill>
                        <a:schemeClr val="bg1">
                          <a:lumMod val="85000"/>
                        </a:schemeClr>
                      </a:solid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rPr>
        <w:t>左侧</w:t>
      </w:r>
      <w:r>
        <w:rPr>
          <w:rFonts w:hint="eastAsia" w:ascii="仿宋_GB2312" w:hAnsi="仿宋_GB2312" w:eastAsia="仿宋_GB2312" w:cs="仿宋_GB2312"/>
          <w:b w:val="0"/>
          <w:bCs w:val="0"/>
          <w:sz w:val="24"/>
          <w:szCs w:val="28"/>
          <w:lang w:val="en-US" w:eastAsia="zh-CN"/>
        </w:rPr>
        <w:t>面板展示当前开展竞价的</w:t>
      </w:r>
      <w:r>
        <w:rPr>
          <w:rFonts w:hint="eastAsia" w:ascii="仿宋_GB2312" w:hAnsi="仿宋_GB2312" w:eastAsia="仿宋_GB2312" w:cs="仿宋_GB2312"/>
          <w:b w:val="0"/>
          <w:bCs w:val="0"/>
          <w:sz w:val="24"/>
          <w:szCs w:val="28"/>
        </w:rPr>
        <w:t>电力公司列表，</w:t>
      </w:r>
      <w:r>
        <w:rPr>
          <w:rFonts w:hint="eastAsia" w:ascii="仿宋_GB2312" w:hAnsi="仿宋_GB2312" w:eastAsia="仿宋_GB2312" w:cs="仿宋_GB2312"/>
          <w:b w:val="0"/>
          <w:bCs w:val="0"/>
          <w:sz w:val="24"/>
          <w:szCs w:val="28"/>
          <w:lang w:val="en-US" w:eastAsia="zh-CN"/>
        </w:rPr>
        <w:t>分为【</w:t>
      </w:r>
      <w:r>
        <w:rPr>
          <w:rFonts w:hint="eastAsia" w:ascii="仿宋_GB2312" w:hAnsi="仿宋_GB2312" w:eastAsia="仿宋_GB2312" w:cs="仿宋_GB2312"/>
          <w:b w:val="0"/>
          <w:bCs w:val="0"/>
          <w:color w:val="0000FF"/>
          <w:sz w:val="24"/>
          <w:szCs w:val="28"/>
          <w:lang w:val="en-US" w:eastAsia="zh-CN"/>
        </w:rPr>
        <w:t>未签署</w:t>
      </w:r>
      <w:r>
        <w:rPr>
          <w:rFonts w:hint="eastAsia" w:ascii="仿宋_GB2312" w:hAnsi="仿宋_GB2312" w:eastAsia="仿宋_GB2312" w:cs="仿宋_GB2312"/>
          <w:b w:val="0"/>
          <w:bCs w:val="0"/>
          <w:sz w:val="24"/>
          <w:szCs w:val="28"/>
          <w:lang w:val="en-US" w:eastAsia="zh-CN"/>
        </w:rPr>
        <w:t>】和【</w:t>
      </w:r>
      <w:r>
        <w:rPr>
          <w:rFonts w:hint="eastAsia" w:ascii="仿宋_GB2312" w:hAnsi="仿宋_GB2312" w:eastAsia="仿宋_GB2312" w:cs="仿宋_GB2312"/>
          <w:b w:val="0"/>
          <w:bCs w:val="0"/>
          <w:color w:val="0000FF"/>
          <w:sz w:val="24"/>
          <w:szCs w:val="28"/>
          <w:lang w:val="en-US" w:eastAsia="zh-CN"/>
        </w:rPr>
        <w:t>已签署</w:t>
      </w:r>
      <w:r>
        <w:rPr>
          <w:rFonts w:hint="eastAsia" w:ascii="仿宋_GB2312" w:hAnsi="仿宋_GB2312" w:eastAsia="仿宋_GB2312" w:cs="仿宋_GB2312"/>
          <w:b w:val="0"/>
          <w:bCs w:val="0"/>
          <w:sz w:val="24"/>
          <w:szCs w:val="28"/>
          <w:lang w:val="en-US" w:eastAsia="zh-CN"/>
        </w:rPr>
        <w:t>】两个页签；</w:t>
      </w:r>
      <w:r>
        <w:rPr>
          <w:rFonts w:hint="eastAsia" w:ascii="仿宋_GB2312" w:hAnsi="仿宋_GB2312" w:eastAsia="仿宋_GB2312" w:cs="仿宋_GB2312"/>
          <w:b w:val="0"/>
          <w:bCs w:val="0"/>
          <w:sz w:val="24"/>
          <w:szCs w:val="28"/>
        </w:rPr>
        <w:t>右侧</w:t>
      </w:r>
      <w:r>
        <w:rPr>
          <w:rFonts w:hint="eastAsia" w:ascii="仿宋_GB2312" w:hAnsi="仿宋_GB2312" w:eastAsia="仿宋_GB2312" w:cs="仿宋_GB2312"/>
          <w:b w:val="0"/>
          <w:bCs w:val="0"/>
          <w:sz w:val="24"/>
          <w:szCs w:val="28"/>
          <w:lang w:val="en-US" w:eastAsia="zh-CN"/>
        </w:rPr>
        <w:t>面板展示所选电力公司对应的告知书具体内容。</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lang w:val="en-US" w:eastAsia="zh-CN"/>
        </w:rPr>
        <w:t>在左侧</w:t>
      </w: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未签署</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页签</w:t>
      </w:r>
      <w:r>
        <w:rPr>
          <w:rFonts w:hint="eastAsia" w:ascii="仿宋_GB2312" w:hAnsi="仿宋_GB2312" w:eastAsia="仿宋_GB2312" w:cs="仿宋_GB2312"/>
          <w:b w:val="0"/>
          <w:bCs w:val="0"/>
          <w:sz w:val="24"/>
          <w:szCs w:val="28"/>
        </w:rPr>
        <w:t>，选择项目</w:t>
      </w:r>
      <w:r>
        <w:rPr>
          <w:rFonts w:hint="eastAsia" w:ascii="仿宋_GB2312" w:hAnsi="仿宋_GB2312" w:eastAsia="仿宋_GB2312" w:cs="仿宋_GB2312"/>
          <w:b w:val="0"/>
          <w:bCs w:val="0"/>
          <w:sz w:val="24"/>
          <w:szCs w:val="28"/>
          <w:lang w:val="en-US" w:eastAsia="zh-CN"/>
        </w:rPr>
        <w:t>对应的</w:t>
      </w:r>
      <w:r>
        <w:rPr>
          <w:rFonts w:hint="eastAsia" w:ascii="仿宋_GB2312" w:hAnsi="仿宋_GB2312" w:eastAsia="仿宋_GB2312" w:cs="仿宋_GB2312"/>
          <w:b w:val="0"/>
          <w:bCs w:val="0"/>
          <w:sz w:val="24"/>
          <w:szCs w:val="28"/>
        </w:rPr>
        <w:t>网省电力公司</w:t>
      </w:r>
      <w:r>
        <w:rPr>
          <w:rFonts w:hint="eastAsia" w:ascii="仿宋_GB2312" w:hAnsi="仿宋_GB2312" w:eastAsia="仿宋_GB2312" w:cs="仿宋_GB2312"/>
          <w:b w:val="0"/>
          <w:bCs w:val="0"/>
          <w:sz w:val="24"/>
          <w:szCs w:val="28"/>
          <w:lang w:eastAsia="zh-CN"/>
        </w:rPr>
        <w:t>（</w:t>
      </w:r>
      <w:r>
        <w:rPr>
          <w:rFonts w:hint="eastAsia" w:ascii="仿宋_GB2312" w:hAnsi="仿宋_GB2312" w:eastAsia="仿宋_GB2312" w:cs="仿宋_GB2312"/>
          <w:b w:val="0"/>
          <w:bCs w:val="0"/>
          <w:sz w:val="24"/>
          <w:szCs w:val="28"/>
          <w:lang w:val="en-US" w:eastAsia="zh-CN"/>
        </w:rPr>
        <w:t>若该企业项目涉及多省份，需逐一签署</w:t>
      </w:r>
      <w:r>
        <w:rPr>
          <w:rFonts w:hint="eastAsia" w:ascii="仿宋_GB2312" w:hAnsi="仿宋_GB2312" w:eastAsia="仿宋_GB2312" w:cs="仿宋_GB2312"/>
          <w:b w:val="0"/>
          <w:bCs w:val="0"/>
          <w:sz w:val="24"/>
          <w:szCs w:val="28"/>
          <w:lang w:eastAsia="zh-CN"/>
        </w:rPr>
        <w:t>）。</w:t>
      </w:r>
      <w:r>
        <w:rPr>
          <w:rFonts w:hint="eastAsia" w:ascii="仿宋_GB2312" w:hAnsi="仿宋_GB2312" w:eastAsia="仿宋_GB2312" w:cs="仿宋_GB2312"/>
          <w:b w:val="0"/>
          <w:bCs w:val="0"/>
          <w:sz w:val="24"/>
          <w:szCs w:val="28"/>
          <w:lang w:val="en-US" w:eastAsia="zh-CN"/>
        </w:rPr>
        <w:t>系统自动加载右侧告知书内容，等待页面倒计时15秒结束后，勾选</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color w:val="0000FF"/>
          <w:sz w:val="24"/>
          <w:szCs w:val="28"/>
        </w:rPr>
        <w:t>已仔细阅读并同意</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复选框</w:t>
      </w: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签署</w:t>
      </w:r>
      <w:r>
        <w:rPr>
          <w:rFonts w:hint="eastAsia" w:ascii="仿宋_GB2312" w:hAnsi="仿宋_GB2312" w:eastAsia="仿宋_GB2312" w:cs="仿宋_GB2312"/>
          <w:b w:val="0"/>
          <w:bCs w:val="0"/>
          <w:sz w:val="24"/>
          <w:szCs w:val="28"/>
        </w:rPr>
        <w:t>】完成</w:t>
      </w:r>
      <w:r>
        <w:rPr>
          <w:rFonts w:hint="eastAsia" w:ascii="仿宋_GB2312" w:hAnsi="仿宋_GB2312" w:eastAsia="仿宋_GB2312" w:cs="仿宋_GB2312"/>
          <w:b w:val="0"/>
          <w:bCs w:val="0"/>
          <w:sz w:val="24"/>
          <w:szCs w:val="28"/>
          <w:lang w:val="en-US" w:eastAsia="zh-CN"/>
        </w:rPr>
        <w:t>签署</w:t>
      </w:r>
      <w:r>
        <w:rPr>
          <w:rFonts w:hint="eastAsia" w:ascii="仿宋_GB2312" w:hAnsi="仿宋_GB2312" w:eastAsia="仿宋_GB2312" w:cs="仿宋_GB2312"/>
          <w:b w:val="0"/>
          <w:bCs w:val="0"/>
          <w:sz w:val="24"/>
          <w:szCs w:val="28"/>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rPr>
        <w:t>成功签署后，系统自动更新左侧电力公司状态至【</w:t>
      </w:r>
      <w:r>
        <w:rPr>
          <w:rFonts w:hint="eastAsia" w:ascii="仿宋_GB2312" w:hAnsi="仿宋_GB2312" w:eastAsia="仿宋_GB2312" w:cs="仿宋_GB2312"/>
          <w:b w:val="0"/>
          <w:bCs w:val="0"/>
          <w:color w:val="0000FF"/>
          <w:sz w:val="24"/>
          <w:szCs w:val="28"/>
        </w:rPr>
        <w:t>已签署</w:t>
      </w:r>
      <w:r>
        <w:rPr>
          <w:rFonts w:hint="eastAsia" w:ascii="仿宋_GB2312" w:hAnsi="仿宋_GB2312" w:eastAsia="仿宋_GB2312" w:cs="仿宋_GB2312"/>
          <w:b w:val="0"/>
          <w:bCs w:val="0"/>
          <w:sz w:val="24"/>
          <w:szCs w:val="28"/>
        </w:rPr>
        <w:t>】页签</w:t>
      </w:r>
      <w:r>
        <w:rPr>
          <w:rFonts w:hint="eastAsia" w:ascii="仿宋_GB2312" w:hAnsi="仿宋_GB2312" w:eastAsia="仿宋_GB2312" w:cs="仿宋_GB2312"/>
          <w:b w:val="0"/>
          <w:bCs w:val="0"/>
          <w:sz w:val="24"/>
          <w:szCs w:val="28"/>
          <w:lang w:eastAsia="zh-CN"/>
        </w:rPr>
        <w:t>。</w:t>
      </w:r>
      <w:r>
        <w:rPr>
          <w:rFonts w:hint="eastAsia" w:ascii="仿宋_GB2312" w:hAnsi="仿宋_GB2312" w:eastAsia="仿宋_GB2312" w:cs="仿宋_GB2312"/>
          <w:b w:val="0"/>
          <w:bCs w:val="0"/>
          <w:sz w:val="24"/>
          <w:szCs w:val="28"/>
        </w:rPr>
        <w:t>企业正式获得</w:t>
      </w:r>
      <w:r>
        <w:rPr>
          <w:rFonts w:hint="eastAsia" w:ascii="仿宋_GB2312" w:hAnsi="仿宋_GB2312" w:eastAsia="仿宋_GB2312" w:cs="仿宋_GB2312"/>
          <w:b w:val="0"/>
          <w:bCs w:val="0"/>
          <w:sz w:val="24"/>
          <w:szCs w:val="28"/>
          <w:lang w:eastAsia="zh-CN"/>
        </w:rPr>
        <w:t>竞价申报主体</w:t>
      </w:r>
      <w:r>
        <w:rPr>
          <w:rFonts w:hint="eastAsia" w:ascii="仿宋_GB2312" w:hAnsi="仿宋_GB2312" w:eastAsia="仿宋_GB2312" w:cs="仿宋_GB2312"/>
          <w:b w:val="0"/>
          <w:bCs w:val="0"/>
          <w:sz w:val="24"/>
          <w:szCs w:val="28"/>
        </w:rPr>
        <w:t>身份，可进行后续操作。</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8120" cy="2356485"/>
            <wp:effectExtent l="9525" t="9525" r="20955" b="2159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278120" cy="2356485"/>
                    </a:xfrm>
                    <a:prstGeom prst="rect">
                      <a:avLst/>
                    </a:prstGeom>
                    <a:ln>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资质申报</w:t>
      </w:r>
    </w:p>
    <w:p>
      <w:pPr>
        <w:keepNext w:val="0"/>
        <w:keepLines w:val="0"/>
        <w:pageBreakBefore w:val="0"/>
        <w:widowControl w:val="0"/>
        <w:pBdr>
          <w:bottom w:val="none" w:color="auto" w:sz="0" w:space="0"/>
        </w:pBdr>
        <w:kinsoku/>
        <w:wordWrap/>
        <w:overflowPunct/>
        <w:topLinePunct w:val="0"/>
        <w:autoSpaceDE/>
        <w:autoSpaceDN/>
        <w:bidi w:val="0"/>
        <w:adjustRightInd/>
        <w:snapToGrid/>
        <w:spacing w:line="560" w:lineRule="exact"/>
        <w:ind w:firstLine="482"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外网</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机制电价竞价专区 -</w:t>
      </w:r>
      <w:r>
        <w:rPr>
          <w:rFonts w:hint="eastAsia" w:ascii="仿宋_GB2312" w:hAnsi="仿宋_GB2312" w:eastAsia="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资质申报</w:t>
      </w:r>
      <w:r>
        <w:rPr>
          <w:rFonts w:hint="eastAsia" w:ascii="仿宋_GB2312" w:hAnsi="仿宋_GB2312" w:eastAsia="仿宋_GB2312" w:cs="仿宋_GB2312"/>
          <w:b w:val="0"/>
          <w:bCs w:val="0"/>
          <w:sz w:val="24"/>
          <w:szCs w:val="28"/>
          <w:lang w:val="en-US" w:eastAsia="zh-CN"/>
        </w:rPr>
        <w:t xml:space="preserve">  </w:t>
      </w:r>
    </w:p>
    <w:p>
      <w:pPr>
        <w:keepNext w:val="0"/>
        <w:keepLines w:val="0"/>
        <w:pageBreakBefore w:val="0"/>
        <w:widowControl w:val="0"/>
        <w:pBdr>
          <w:bottom w:val="none" w:color="auto" w:sz="0" w:space="0"/>
        </w:pBd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lang w:eastAsia="zh-CN"/>
        </w:rPr>
        <w:t>竞价申报主体</w:t>
      </w:r>
      <w:r>
        <w:rPr>
          <w:rFonts w:hint="eastAsia" w:ascii="仿宋_GB2312" w:hAnsi="仿宋_GB2312" w:eastAsia="仿宋_GB2312" w:cs="仿宋_GB2312"/>
          <w:b w:val="0"/>
          <w:bCs w:val="0"/>
          <w:sz w:val="24"/>
          <w:szCs w:val="28"/>
        </w:rPr>
        <w:t>需在规定的资质申报时间内完成申报，逾期</w:t>
      </w:r>
      <w:r>
        <w:rPr>
          <w:rFonts w:hint="eastAsia" w:ascii="仿宋_GB2312" w:hAnsi="仿宋_GB2312" w:eastAsia="仿宋_GB2312" w:cs="仿宋_GB2312"/>
          <w:b w:val="0"/>
          <w:bCs w:val="0"/>
          <w:sz w:val="24"/>
          <w:szCs w:val="28"/>
          <w:lang w:val="en-US" w:eastAsia="zh-CN"/>
        </w:rPr>
        <w:t>项目将失去当期竞价机会</w:t>
      </w:r>
      <w:r>
        <w:rPr>
          <w:rFonts w:hint="eastAsia" w:ascii="仿宋_GB2312" w:hAnsi="仿宋_GB2312" w:eastAsia="仿宋_GB2312" w:cs="仿宋_GB2312"/>
          <w:b w:val="0"/>
          <w:bCs w:val="0"/>
          <w:sz w:val="24"/>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i w:val="0"/>
          <w:strike w:val="0"/>
          <w:color w:val="000000"/>
          <w:sz w:val="21"/>
          <w:u w:val="none"/>
          <w:lang w:eastAsia="zh-CN"/>
        </w:rPr>
      </w:pPr>
      <w:r>
        <w:rPr>
          <w:rFonts w:hint="eastAsia" w:ascii="仿宋_GB2312" w:hAnsi="仿宋_GB2312" w:eastAsia="仿宋_GB2312" w:cs="仿宋_GB2312"/>
          <w:b w:val="0"/>
          <w:bCs w:val="0"/>
          <w:sz w:val="24"/>
          <w:szCs w:val="28"/>
        </w:rPr>
        <w:t>1）选择资质申报板块，点击【</w:t>
      </w:r>
      <w:r>
        <w:rPr>
          <w:rFonts w:hint="eastAsia" w:ascii="仿宋_GB2312" w:hAnsi="仿宋_GB2312" w:eastAsia="仿宋_GB2312" w:cs="仿宋_GB2312"/>
          <w:b w:val="0"/>
          <w:bCs w:val="0"/>
          <w:color w:val="0000FF"/>
          <w:sz w:val="24"/>
          <w:szCs w:val="28"/>
        </w:rPr>
        <w:t>了解更多</w:t>
      </w:r>
      <w:r>
        <w:rPr>
          <w:rFonts w:hint="eastAsia" w:ascii="仿宋_GB2312" w:hAnsi="仿宋_GB2312" w:eastAsia="仿宋_GB2312" w:cs="仿宋_GB2312"/>
          <w:b w:val="0"/>
          <w:bCs w:val="0"/>
          <w:sz w:val="24"/>
          <w:szCs w:val="28"/>
        </w:rPr>
        <w:t>】进入申报页面</w:t>
      </w:r>
      <w:r>
        <w:rPr>
          <w:rFonts w:hint="eastAsia" w:ascii="仿宋_GB2312" w:hAnsi="仿宋_GB2312" w:eastAsia="仿宋_GB2312" w:cs="仿宋_GB2312"/>
          <w:b w:val="0"/>
          <w:bCs w:val="0"/>
          <w:sz w:val="24"/>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i w:val="0"/>
          <w:strike w:val="0"/>
          <w:color w:val="000000"/>
          <w:sz w:val="21"/>
          <w:u w:val="none"/>
          <w:lang w:eastAsia="zh-CN"/>
        </w:rPr>
      </w:pPr>
      <w:r>
        <w:rPr>
          <w:rFonts w:hint="eastAsia" w:ascii="仿宋_GB2312" w:hAnsi="仿宋_GB2312" w:eastAsia="仿宋_GB2312" w:cs="仿宋_GB2312"/>
          <w:i w:val="0"/>
          <w:strike w:val="0"/>
          <w:color w:val="000000"/>
          <w:sz w:val="21"/>
          <w:u w:val="none"/>
          <w:lang w:eastAsia="zh-CN"/>
        </w:rPr>
        <w:drawing>
          <wp:inline distT="0" distB="0" distL="114300" distR="114300">
            <wp:extent cx="5267325" cy="1379220"/>
            <wp:effectExtent l="9525" t="9525" r="19050" b="20955"/>
            <wp:docPr id="26"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1"/>
                    <pic:cNvPicPr>
                      <a:picLocks noChangeAspect="1"/>
                    </pic:cNvPicPr>
                  </pic:nvPicPr>
                  <pic:blipFill>
                    <a:blip r:embed="rId17"/>
                    <a:srcRect t="49288"/>
                    <a:stretch>
                      <a:fillRect/>
                    </a:stretch>
                  </pic:blipFill>
                  <pic:spPr>
                    <a:xfrm>
                      <a:off x="0" y="0"/>
                      <a:ext cx="5267325" cy="1379220"/>
                    </a:xfrm>
                    <a:prstGeom prst="rect">
                      <a:avLst/>
                    </a:prstGeom>
                    <a:ln>
                      <a:solidFill>
                        <a:schemeClr val="bg1">
                          <a:lumMod val="85000"/>
                        </a:schemeClr>
                      </a:solid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进入</w:t>
      </w:r>
      <w:r>
        <w:rPr>
          <w:rFonts w:hint="eastAsia" w:ascii="仿宋_GB2312" w:hAnsi="仿宋_GB2312" w:eastAsia="仿宋_GB2312" w:cs="仿宋_GB2312"/>
          <w:b w:val="0"/>
          <w:bCs w:val="0"/>
          <w:sz w:val="24"/>
          <w:szCs w:val="28"/>
        </w:rPr>
        <w:t>申报</w:t>
      </w:r>
      <w:r>
        <w:rPr>
          <w:rFonts w:hint="eastAsia" w:ascii="仿宋_GB2312" w:hAnsi="仿宋_GB2312" w:eastAsia="仿宋_GB2312" w:cs="仿宋_GB2312"/>
          <w:b w:val="0"/>
          <w:bCs w:val="0"/>
          <w:sz w:val="24"/>
          <w:szCs w:val="28"/>
          <w:lang w:val="en-US" w:eastAsia="zh-CN"/>
        </w:rPr>
        <w:t>页面后</w:t>
      </w:r>
      <w:r>
        <w:rPr>
          <w:rFonts w:hint="eastAsia" w:ascii="仿宋_GB2312" w:hAnsi="仿宋_GB2312" w:eastAsia="仿宋_GB2312" w:cs="仿宋_GB2312"/>
          <w:b w:val="0"/>
          <w:bCs w:val="0"/>
          <w:sz w:val="24"/>
          <w:szCs w:val="28"/>
          <w:lang w:eastAsia="zh-CN"/>
        </w:rPr>
        <w:t>，</w:t>
      </w: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新增</w:t>
      </w:r>
      <w:r>
        <w:rPr>
          <w:rFonts w:hint="eastAsia" w:ascii="仿宋_GB2312" w:hAnsi="仿宋_GB2312" w:eastAsia="仿宋_GB2312" w:cs="仿宋_GB2312"/>
          <w:b w:val="0"/>
          <w:bCs w:val="0"/>
          <w:sz w:val="24"/>
          <w:szCs w:val="28"/>
        </w:rPr>
        <w:t>】，弹出项目</w:t>
      </w:r>
      <w:r>
        <w:rPr>
          <w:rFonts w:hint="eastAsia" w:ascii="仿宋_GB2312" w:hAnsi="仿宋_GB2312" w:eastAsia="仿宋_GB2312" w:cs="仿宋_GB2312"/>
          <w:b w:val="0"/>
          <w:bCs w:val="0"/>
          <w:sz w:val="24"/>
          <w:szCs w:val="28"/>
          <w:lang w:val="en-US" w:eastAsia="zh-CN"/>
        </w:rPr>
        <w:t>选择对话框</w:t>
      </w:r>
      <w:r>
        <w:rPr>
          <w:rFonts w:hint="eastAsia" w:ascii="仿宋_GB2312" w:hAnsi="仿宋_GB2312" w:eastAsia="仿宋_GB2312" w:cs="仿宋_GB2312"/>
          <w:b w:val="0"/>
          <w:bCs w:val="0"/>
          <w:sz w:val="24"/>
          <w:szCs w:val="28"/>
          <w:lang w:eastAsia="zh-CN"/>
        </w:rPr>
        <w:t>。</w:t>
      </w:r>
      <w:r>
        <w:rPr>
          <w:rFonts w:hint="eastAsia" w:ascii="仿宋_GB2312" w:hAnsi="仿宋_GB2312" w:eastAsia="仿宋_GB2312" w:cs="仿宋_GB2312"/>
          <w:b w:val="0"/>
          <w:bCs w:val="0"/>
          <w:sz w:val="24"/>
          <w:szCs w:val="28"/>
        </w:rPr>
        <w:t>选择</w:t>
      </w:r>
      <w:r>
        <w:rPr>
          <w:rFonts w:hint="eastAsia" w:ascii="仿宋_GB2312" w:hAnsi="仿宋_GB2312" w:eastAsia="仿宋_GB2312" w:cs="仿宋_GB2312"/>
          <w:b w:val="0"/>
          <w:bCs w:val="0"/>
          <w:sz w:val="24"/>
          <w:szCs w:val="28"/>
          <w:lang w:val="en-US" w:eastAsia="zh-CN"/>
        </w:rPr>
        <w:t>公司名称（自动关联该账号下已入驻企业）和项目名称（需提前完成项目维护）。如未查询到项目，点击提示信息中的【</w:t>
      </w:r>
      <w:r>
        <w:rPr>
          <w:rFonts w:hint="eastAsia" w:ascii="仿宋_GB2312" w:hAnsi="仿宋_GB2312" w:eastAsia="仿宋_GB2312" w:cs="仿宋_GB2312"/>
          <w:b w:val="0"/>
          <w:bCs w:val="0"/>
          <w:color w:val="0000FF"/>
          <w:sz w:val="24"/>
          <w:szCs w:val="28"/>
          <w:lang w:val="en-US" w:eastAsia="zh-CN"/>
        </w:rPr>
        <w:t>点击进入</w:t>
      </w:r>
      <w:r>
        <w:rPr>
          <w:rFonts w:hint="eastAsia" w:ascii="仿宋_GB2312" w:hAnsi="仿宋_GB2312" w:eastAsia="仿宋_GB2312" w:cs="仿宋_GB2312"/>
          <w:b w:val="0"/>
          <w:bCs w:val="0"/>
          <w:sz w:val="24"/>
          <w:szCs w:val="28"/>
          <w:lang w:val="en-US" w:eastAsia="zh-CN"/>
        </w:rPr>
        <w:t>】，跳转至项目维护页面进行新增（详见3.项目维护）。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both"/>
        <w:textAlignment w:val="auto"/>
        <w:rPr>
          <w:rFonts w:hint="eastAsia" w:ascii="仿宋_GB2312" w:hAnsi="仿宋_GB2312" w:eastAsia="仿宋_GB2312" w:cs="仿宋_GB2312"/>
          <w:i w:val="0"/>
          <w:strike w:val="0"/>
          <w:color w:val="000000"/>
          <w:sz w:val="21"/>
          <w:u w:val="none"/>
        </w:rPr>
      </w:pPr>
      <w:r>
        <w:rPr>
          <w:rFonts w:hint="eastAsia" w:ascii="仿宋_GB2312" w:hAnsi="仿宋_GB2312" w:eastAsia="仿宋_GB2312" w:cs="仿宋_GB2312"/>
          <w:i w:val="0"/>
          <w:strike w:val="0"/>
          <w:color w:val="000000"/>
          <w:sz w:val="21"/>
          <w:u w:val="none"/>
        </w:rPr>
        <w:drawing>
          <wp:inline distT="0" distB="0" distL="114300" distR="114300">
            <wp:extent cx="5269865" cy="2311400"/>
            <wp:effectExtent l="9525" t="9525" r="16510" b="15875"/>
            <wp:docPr id="29" name="图片 1" descr="174843816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748438165442"/>
                    <pic:cNvPicPr>
                      <a:picLocks noChangeAspect="1"/>
                    </pic:cNvPicPr>
                  </pic:nvPicPr>
                  <pic:blipFill>
                    <a:blip r:embed="rId18"/>
                    <a:stretch>
                      <a:fillRect/>
                    </a:stretch>
                  </pic:blipFill>
                  <pic:spPr>
                    <a:xfrm>
                      <a:off x="0" y="0"/>
                      <a:ext cx="5269865" cy="2311400"/>
                    </a:xfrm>
                    <a:prstGeom prst="rect">
                      <a:avLst/>
                    </a:prstGeom>
                    <a:ln w="6350">
                      <a:solidFill>
                        <a:schemeClr val="bg1">
                          <a:lumMod val="85000"/>
                        </a:schemeClr>
                      </a:solid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分页签填写企业信息、项目信息、资质申请信息。需仔细核对自动带出的企业基本信息和项目基本信息，完善项目信息中主要技术参数，上传资质申请信息中相关证明文件。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b w:val="0"/>
          <w:bCs w:val="0"/>
          <w:color w:val="0000FF"/>
          <w:sz w:val="24"/>
          <w:szCs w:val="28"/>
          <w:lang w:val="en-US" w:eastAsia="zh-CN"/>
        </w:rPr>
        <w:t>重要提示</w:t>
      </w:r>
      <w:r>
        <w:rPr>
          <w:rFonts w:hint="eastAsia" w:ascii="仿宋_GB2312" w:hAnsi="仿宋_GB2312" w:eastAsia="仿宋_GB2312" w:cs="仿宋_GB2312"/>
          <w:b w:val="0"/>
          <w:bCs w:val="0"/>
          <w:sz w:val="24"/>
          <w:szCs w:val="28"/>
          <w:lang w:val="en-US" w:eastAsia="zh-CN"/>
        </w:rPr>
        <w:t>：提交后不可撤回，请仔细核对；关于未投产项目是否需办理履约保函，请依据项目所在省的具体规定执行。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52720" cy="2811780"/>
            <wp:effectExtent l="9525" t="9525" r="20955" b="10795"/>
            <wp:docPr id="32" name="图片 3" descr="17484384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1748438460816"/>
                    <pic:cNvPicPr>
                      <a:picLocks noChangeAspect="1"/>
                    </pic:cNvPicPr>
                  </pic:nvPicPr>
                  <pic:blipFill>
                    <a:blip r:embed="rId19"/>
                    <a:srcRect l="758" t="1277" r="746" b="7490"/>
                    <a:stretch>
                      <a:fillRect/>
                    </a:stretch>
                  </pic:blipFill>
                  <pic:spPr>
                    <a:xfrm>
                      <a:off x="0" y="0"/>
                      <a:ext cx="5252720" cy="281178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在项目列表页，可通过项目名称、类型等筛选查询，查看业务状态（待审核/已通过/</w:t>
      </w:r>
      <w:r>
        <w:rPr>
          <w:rFonts w:hint="eastAsia" w:ascii="仿宋_GB2312" w:hAnsi="仿宋_GB2312" w:cs="仿宋_GB2312"/>
          <w:b w:val="0"/>
          <w:bCs w:val="0"/>
          <w:sz w:val="24"/>
          <w:szCs w:val="28"/>
          <w:lang w:val="en-US" w:eastAsia="zh-CN"/>
        </w:rPr>
        <w:t>已</w:t>
      </w:r>
      <w:r>
        <w:rPr>
          <w:rFonts w:hint="eastAsia" w:ascii="仿宋_GB2312" w:hAnsi="仿宋_GB2312" w:eastAsia="仿宋_GB2312" w:cs="仿宋_GB2312"/>
          <w:b w:val="0"/>
          <w:bCs w:val="0"/>
          <w:sz w:val="24"/>
          <w:szCs w:val="28"/>
          <w:lang w:val="en-US" w:eastAsia="zh-CN"/>
        </w:rPr>
        <w:t>驳回等）。点击【</w:t>
      </w:r>
      <w:r>
        <w:rPr>
          <w:rFonts w:hint="eastAsia" w:ascii="仿宋_GB2312" w:hAnsi="仿宋_GB2312" w:eastAsia="仿宋_GB2312" w:cs="仿宋_GB2312"/>
          <w:b w:val="0"/>
          <w:bCs w:val="0"/>
          <w:color w:val="0000FF"/>
          <w:sz w:val="24"/>
          <w:szCs w:val="28"/>
          <w:lang w:val="en-US" w:eastAsia="zh-CN"/>
        </w:rPr>
        <w:t>查看</w:t>
      </w:r>
      <w:r>
        <w:rPr>
          <w:rFonts w:hint="eastAsia" w:ascii="仿宋_GB2312" w:hAnsi="仿宋_GB2312" w:eastAsia="仿宋_GB2312" w:cs="仿宋_GB2312"/>
          <w:b w:val="0"/>
          <w:bCs w:val="0"/>
          <w:sz w:val="24"/>
          <w:szCs w:val="28"/>
          <w:lang w:val="en-US" w:eastAsia="zh-CN"/>
        </w:rPr>
        <w:t>】查阅详情及审批意见。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color w:val="0000FF"/>
          <w:sz w:val="24"/>
          <w:szCs w:val="28"/>
          <w:lang w:val="en-US" w:eastAsia="zh-CN"/>
        </w:rPr>
        <w:t>重要提示</w:t>
      </w:r>
      <w:r>
        <w:rPr>
          <w:rFonts w:hint="eastAsia" w:ascii="仿宋_GB2312" w:hAnsi="仿宋_GB2312" w:eastAsia="仿宋_GB2312" w:cs="仿宋_GB2312"/>
          <w:b w:val="0"/>
          <w:bCs w:val="0"/>
          <w:sz w:val="24"/>
          <w:szCs w:val="28"/>
          <w:lang w:val="en-US" w:eastAsia="zh-CN"/>
        </w:rPr>
        <w:t>：被驳回的项目需在各省规定时间内重新提交，逾期项目将失去当期竞价机会。</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rPr>
        <w:drawing>
          <wp:inline distT="0" distB="0" distL="114300" distR="114300">
            <wp:extent cx="5273040" cy="1717040"/>
            <wp:effectExtent l="9525" t="9525" r="13335" b="1333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0"/>
                    <a:srcRect b="36511"/>
                    <a:stretch>
                      <a:fillRect/>
                    </a:stretch>
                  </pic:blipFill>
                  <pic:spPr>
                    <a:xfrm>
                      <a:off x="0" y="0"/>
                      <a:ext cx="5273040" cy="1717040"/>
                    </a:xfrm>
                    <a:prstGeom prst="rect">
                      <a:avLst/>
                    </a:prstGeom>
                    <a:noFill/>
                    <a:ln w="6350">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竞价资质公示</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cs="仿宋_GB2312"/>
          <w:b w:val="0"/>
          <w:bCs w:val="0"/>
          <w:sz w:val="24"/>
          <w:szCs w:val="28"/>
          <w:lang w:val="en-US" w:eastAsia="zh-CN"/>
        </w:rPr>
        <w:t xml:space="preserve">外网 - </w:t>
      </w:r>
      <w:r>
        <w:rPr>
          <w:rFonts w:hint="eastAsia" w:ascii="仿宋_GB2312" w:hAnsi="仿宋_GB2312" w:eastAsia="仿宋_GB2312" w:cs="仿宋_GB2312"/>
          <w:b w:val="0"/>
          <w:bCs w:val="0"/>
          <w:sz w:val="24"/>
          <w:szCs w:val="28"/>
        </w:rPr>
        <w:t>机制电价竞价专区 -</w:t>
      </w:r>
      <w:r>
        <w:rPr>
          <w:rFonts w:hint="eastAsia" w:ascii="仿宋_GB2312" w:hAnsi="仿宋_GB2312" w:eastAsia="仿宋_GB2312" w:cs="仿宋_GB2312"/>
          <w:b w:val="0"/>
          <w:bCs w:val="0"/>
          <w:sz w:val="24"/>
          <w:szCs w:val="28"/>
          <w:lang w:val="en-US" w:eastAsia="zh-CN"/>
        </w:rPr>
        <w:t xml:space="preserve"> 竞价公示与公布 - </w:t>
      </w:r>
      <w:r>
        <w:rPr>
          <w:rFonts w:hint="eastAsia" w:ascii="仿宋_GB2312" w:hAnsi="仿宋_GB2312" w:eastAsia="仿宋_GB2312" w:cs="仿宋_GB2312"/>
          <w:b w:val="0"/>
          <w:bCs w:val="0"/>
          <w:sz w:val="24"/>
          <w:szCs w:val="28"/>
        </w:rPr>
        <w:t>竞价资质公示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资质审核通过的项目，将在规定公示期内予以公开。公示期间，社会公众可依据各省规定，通过线上或线下渠道进行实名异议</w:t>
      </w:r>
      <w:r>
        <w:rPr>
          <w:rFonts w:hint="eastAsia" w:ascii="仿宋_GB2312" w:hAnsi="仿宋_GB2312" w:cs="仿宋_GB2312"/>
          <w:b w:val="0"/>
          <w:bCs w:val="0"/>
          <w:sz w:val="24"/>
          <w:szCs w:val="28"/>
          <w:lang w:val="en-US" w:eastAsia="zh-CN"/>
        </w:rPr>
        <w:t>反馈</w:t>
      </w:r>
      <w:r>
        <w:rPr>
          <w:rFonts w:hint="eastAsia" w:ascii="仿宋_GB2312" w:hAnsi="仿宋_GB2312" w:eastAsia="仿宋_GB2312" w:cs="仿宋_GB2312"/>
          <w:b w:val="0"/>
          <w:bCs w:val="0"/>
          <w:sz w:val="24"/>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rPr>
        <w:t>1）</w:t>
      </w:r>
      <w:r>
        <w:rPr>
          <w:rFonts w:hint="eastAsia" w:ascii="仿宋_GB2312" w:hAnsi="仿宋_GB2312" w:eastAsia="仿宋_GB2312" w:cs="仿宋_GB2312"/>
          <w:b w:val="0"/>
          <w:bCs w:val="0"/>
          <w:sz w:val="24"/>
          <w:szCs w:val="28"/>
          <w:lang w:val="en-US" w:eastAsia="zh-CN"/>
        </w:rPr>
        <w:t>首页底部【</w:t>
      </w:r>
      <w:r>
        <w:rPr>
          <w:rFonts w:hint="eastAsia" w:ascii="仿宋_GB2312" w:hAnsi="仿宋_GB2312" w:eastAsia="仿宋_GB2312" w:cs="仿宋_GB2312"/>
          <w:b w:val="0"/>
          <w:bCs w:val="0"/>
          <w:color w:val="0000FF"/>
          <w:sz w:val="24"/>
          <w:szCs w:val="28"/>
          <w:lang w:val="en-US" w:eastAsia="zh-CN"/>
        </w:rPr>
        <w:t>竞价公示与公布</w:t>
      </w:r>
      <w:r>
        <w:rPr>
          <w:rFonts w:hint="eastAsia" w:ascii="仿宋_GB2312" w:hAnsi="仿宋_GB2312" w:eastAsia="仿宋_GB2312" w:cs="仿宋_GB2312"/>
          <w:b w:val="0"/>
          <w:bCs w:val="0"/>
          <w:sz w:val="24"/>
          <w:szCs w:val="28"/>
          <w:lang w:val="en-US" w:eastAsia="zh-CN"/>
        </w:rPr>
        <w:t>】板块中【</w:t>
      </w:r>
      <w:r>
        <w:rPr>
          <w:rFonts w:hint="eastAsia" w:ascii="仿宋_GB2312" w:hAnsi="仿宋_GB2312" w:eastAsia="仿宋_GB2312" w:cs="仿宋_GB2312"/>
          <w:b w:val="0"/>
          <w:bCs w:val="0"/>
          <w:color w:val="0000FF"/>
          <w:sz w:val="24"/>
          <w:szCs w:val="28"/>
          <w:lang w:val="en-US" w:eastAsia="zh-CN"/>
        </w:rPr>
        <w:t>竞价资质公示</w:t>
      </w:r>
      <w:r>
        <w:rPr>
          <w:rFonts w:hint="eastAsia" w:ascii="仿宋_GB2312" w:hAnsi="仿宋_GB2312" w:eastAsia="仿宋_GB2312" w:cs="仿宋_GB2312"/>
          <w:b w:val="0"/>
          <w:bCs w:val="0"/>
          <w:sz w:val="24"/>
          <w:szCs w:val="28"/>
          <w:lang w:val="en-US" w:eastAsia="zh-CN"/>
        </w:rPr>
        <w:t>】（展示部分项目）</w:t>
      </w: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更多</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查看完整公示列表</w:t>
      </w:r>
      <w:r>
        <w:rPr>
          <w:rFonts w:hint="eastAsia" w:ascii="仿宋_GB2312" w:hAnsi="仿宋_GB2312" w:eastAsia="仿宋_GB2312" w:cs="仿宋_GB2312"/>
          <w:b w:val="0"/>
          <w:bCs w:val="0"/>
          <w:sz w:val="24"/>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rPr>
        <w:drawing>
          <wp:inline distT="0" distB="0" distL="114300" distR="114300">
            <wp:extent cx="5268595" cy="1071245"/>
            <wp:effectExtent l="9525" t="9525" r="17780" b="1143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1"/>
                    <a:stretch>
                      <a:fillRect/>
                    </a:stretch>
                  </pic:blipFill>
                  <pic:spPr>
                    <a:xfrm>
                      <a:off x="0" y="0"/>
                      <a:ext cx="5268595" cy="1071245"/>
                    </a:xfrm>
                    <a:prstGeom prst="rect">
                      <a:avLst/>
                    </a:prstGeom>
                    <a:noFill/>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2）筛选查询：支持根据受理电力公司、项目名称等进行精确查找。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0" w:firstLineChars="0"/>
        <w:jc w:val="both"/>
        <w:textAlignment w:val="auto"/>
        <w:rPr>
          <w:rFonts w:hint="eastAsia" w:ascii="仿宋_GB2312" w:hAnsi="仿宋_GB2312" w:eastAsia="仿宋_GB2312" w:cs="仿宋_GB2312"/>
          <w:sz w:val="24"/>
          <w:lang w:val="en-US" w:eastAsia="zh-CN"/>
        </w:rPr>
      </w:pPr>
      <w:r>
        <w:drawing>
          <wp:inline distT="0" distB="0" distL="114300" distR="114300">
            <wp:extent cx="5260975" cy="1644650"/>
            <wp:effectExtent l="9525" t="9525" r="12700" b="952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5260975" cy="164465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3）在公示列表中找到需举报的项目，点击【</w:t>
      </w:r>
      <w:r>
        <w:rPr>
          <w:rFonts w:hint="eastAsia" w:ascii="仿宋_GB2312" w:hAnsi="仿宋_GB2312" w:cs="仿宋_GB2312"/>
          <w:b w:val="0"/>
          <w:bCs w:val="0"/>
          <w:color w:val="0000FF"/>
          <w:sz w:val="24"/>
          <w:szCs w:val="28"/>
          <w:lang w:val="en-US" w:eastAsia="zh-CN"/>
        </w:rPr>
        <w:t>异议反馈</w:t>
      </w:r>
      <w:r>
        <w:rPr>
          <w:rFonts w:hint="eastAsia" w:ascii="仿宋_GB2312" w:hAnsi="仿宋_GB2312" w:eastAsia="仿宋_GB2312" w:cs="仿宋_GB2312"/>
          <w:b w:val="0"/>
          <w:bCs w:val="0"/>
          <w:sz w:val="24"/>
          <w:szCs w:val="28"/>
          <w:lang w:val="en-US" w:eastAsia="zh-CN"/>
        </w:rPr>
        <w:t>】按钮，在弹窗中填写详细说明，上传证明材料，勾选“</w:t>
      </w:r>
      <w:r>
        <w:rPr>
          <w:rFonts w:hint="eastAsia" w:ascii="仿宋_GB2312" w:hAnsi="仿宋_GB2312" w:eastAsia="仿宋_GB2312" w:cs="仿宋_GB2312"/>
          <w:b w:val="0"/>
          <w:bCs w:val="0"/>
          <w:color w:val="000000" w:themeColor="text1"/>
          <w:sz w:val="24"/>
          <w:szCs w:val="28"/>
          <w:lang w:val="en-US" w:eastAsia="zh-CN"/>
          <w14:textFill>
            <w14:solidFill>
              <w14:schemeClr w14:val="tx1"/>
            </w14:solidFill>
          </w14:textFill>
        </w:rPr>
        <w:t>举报真实性承诺</w:t>
      </w:r>
      <w:r>
        <w:rPr>
          <w:rFonts w:hint="eastAsia" w:ascii="仿宋_GB2312" w:hAnsi="仿宋_GB2312" w:eastAsia="仿宋_GB2312" w:cs="仿宋_GB2312"/>
          <w:b w:val="0"/>
          <w:bCs w:val="0"/>
          <w:sz w:val="24"/>
          <w:szCs w:val="28"/>
          <w:lang w:val="en-US" w:eastAsia="zh-CN"/>
        </w:rPr>
        <w:t>”，点击【</w:t>
      </w:r>
      <w:r>
        <w:rPr>
          <w:rFonts w:hint="eastAsia" w:ascii="仿宋_GB2312" w:hAnsi="仿宋_GB2312" w:eastAsia="仿宋_GB2312" w:cs="仿宋_GB2312"/>
          <w:b w:val="0"/>
          <w:bCs w:val="0"/>
          <w:color w:val="0000FF"/>
          <w:sz w:val="24"/>
          <w:szCs w:val="28"/>
          <w:lang w:val="en-US" w:eastAsia="zh-CN"/>
        </w:rPr>
        <w:t>提交</w:t>
      </w:r>
      <w:r>
        <w:rPr>
          <w:rFonts w:hint="eastAsia" w:ascii="仿宋_GB2312" w:hAnsi="仿宋_GB2312" w:eastAsia="仿宋_GB2312" w:cs="仿宋_GB2312"/>
          <w:b w:val="0"/>
          <w:bCs w:val="0"/>
          <w:sz w:val="24"/>
          <w:szCs w:val="28"/>
          <w:lang w:val="en-US" w:eastAsia="zh-CN"/>
        </w:rPr>
        <w:t>】完成举报。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如经过竞价工作组核查举报有效，则被举报项目状态变更为【</w:t>
      </w:r>
      <w:r>
        <w:rPr>
          <w:rFonts w:hint="eastAsia" w:ascii="仿宋_GB2312" w:hAnsi="仿宋_GB2312" w:eastAsia="仿宋_GB2312" w:cs="仿宋_GB2312"/>
          <w:b w:val="0"/>
          <w:bCs w:val="0"/>
          <w:color w:val="0000FF"/>
          <w:sz w:val="24"/>
          <w:szCs w:val="28"/>
          <w:lang w:val="en-US" w:eastAsia="zh-CN"/>
        </w:rPr>
        <w:t>冻结</w:t>
      </w:r>
      <w:r>
        <w:rPr>
          <w:rFonts w:hint="eastAsia" w:ascii="仿宋_GB2312" w:hAnsi="仿宋_GB2312" w:eastAsia="仿宋_GB2312" w:cs="仿宋_GB2312"/>
          <w:b w:val="0"/>
          <w:bCs w:val="0"/>
          <w:sz w:val="24"/>
          <w:szCs w:val="28"/>
          <w:lang w:val="en-US" w:eastAsia="zh-CN"/>
        </w:rPr>
        <w:t>】，冻结项目自动丧失当期竞价资格，违规记录纳入企业信用档案；核查举报无效，则维护原状态并参与后续竞价。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i w:val="0"/>
          <w:strike w:val="0"/>
          <w:color w:val="000000"/>
          <w:sz w:val="32"/>
          <w:szCs w:val="32"/>
          <w:u w:val="none"/>
        </w:rPr>
      </w:pPr>
      <w:r>
        <w:rPr>
          <w:rFonts w:hint="eastAsia" w:ascii="仿宋_GB2312" w:hAnsi="仿宋_GB2312" w:eastAsia="仿宋_GB2312" w:cs="仿宋_GB2312"/>
        </w:rPr>
        <w:drawing>
          <wp:inline distT="0" distB="0" distL="114300" distR="114300">
            <wp:extent cx="5269865" cy="2369820"/>
            <wp:effectExtent l="9525" t="9525" r="16510" b="2095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3"/>
                    <a:stretch>
                      <a:fillRect/>
                    </a:stretch>
                  </pic:blipFill>
                  <pic:spPr>
                    <a:xfrm>
                      <a:off x="0" y="0"/>
                      <a:ext cx="5269865" cy="2369820"/>
                    </a:xfrm>
                    <a:prstGeom prst="rect">
                      <a:avLst/>
                    </a:prstGeom>
                    <a:noFill/>
                    <a:ln w="6350">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履约保函管理</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外网-</w:t>
      </w:r>
      <w:r>
        <w:rPr>
          <w:rFonts w:hint="eastAsia" w:ascii="仿宋_GB2312" w:hAnsi="仿宋_GB2312" w:eastAsia="仿宋_GB2312" w:cs="仿宋_GB2312"/>
          <w:b w:val="0"/>
          <w:bCs w:val="0"/>
          <w:sz w:val="24"/>
          <w:szCs w:val="28"/>
        </w:rPr>
        <w:t>机制电价竞价专区-</w:t>
      </w:r>
      <w:r>
        <w:rPr>
          <w:rFonts w:hint="eastAsia" w:ascii="仿宋_GB2312" w:hAnsi="仿宋_GB2312" w:eastAsia="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履约保函管理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未投产项目在完成资质申请或通过资质公示后（具体以各省规定为准），须按要求办理履约保函，保函金额不得低于系统提示的【</w:t>
      </w:r>
      <w:r>
        <w:rPr>
          <w:rFonts w:hint="eastAsia" w:ascii="仿宋_GB2312" w:hAnsi="仿宋_GB2312" w:eastAsia="仿宋_GB2312" w:cs="仿宋_GB2312"/>
          <w:b w:val="0"/>
          <w:bCs w:val="0"/>
          <w:color w:val="0000FF"/>
          <w:sz w:val="24"/>
          <w:szCs w:val="28"/>
          <w:lang w:val="en-US" w:eastAsia="zh-CN"/>
        </w:rPr>
        <w:t>最低办理金额</w:t>
      </w:r>
      <w:r>
        <w:rPr>
          <w:rFonts w:hint="eastAsia" w:ascii="仿宋_GB2312" w:hAnsi="仿宋_GB2312" w:eastAsia="仿宋_GB2312" w:cs="仿宋_GB2312"/>
          <w:b w:val="0"/>
          <w:bCs w:val="0"/>
          <w:sz w:val="24"/>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bookmarkStart w:id="0" w:name="_GoBack"/>
      <w:r>
        <w:rPr>
          <w:rFonts w:hint="eastAsia" w:ascii="仿宋_GB2312" w:hAnsi="仿宋_GB2312" w:eastAsia="仿宋_GB2312" w:cs="仿宋_GB2312"/>
          <w:b w:val="0"/>
          <w:bCs w:val="0"/>
          <w:color w:val="0000FF"/>
          <w:sz w:val="24"/>
          <w:szCs w:val="28"/>
          <w:lang w:val="en-US" w:eastAsia="zh-CN"/>
        </w:rPr>
        <w:t>重要提示</w:t>
      </w:r>
      <w:bookmarkEnd w:id="0"/>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各省对履约保函的要求有所不同，请提前了解并遵循所在地的具体规定。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eastAsia="zh-CN"/>
        </w:rPr>
      </w:pPr>
      <w:r>
        <w:rPr>
          <w:rFonts w:hint="eastAsia" w:ascii="仿宋_GB2312" w:hAnsi="仿宋_GB2312" w:eastAsia="仿宋_GB2312" w:cs="仿宋_GB2312"/>
          <w:b w:val="0"/>
          <w:bCs w:val="0"/>
          <w:sz w:val="24"/>
          <w:szCs w:val="28"/>
          <w:lang w:val="en-US" w:eastAsia="zh-CN"/>
        </w:rPr>
        <w:t>1）</w:t>
      </w:r>
      <w:r>
        <w:rPr>
          <w:rFonts w:hint="eastAsia" w:ascii="仿宋_GB2312" w:hAnsi="仿宋_GB2312" w:eastAsia="仿宋_GB2312" w:cs="仿宋_GB2312"/>
          <w:b w:val="0"/>
          <w:bCs w:val="0"/>
          <w:sz w:val="24"/>
          <w:szCs w:val="28"/>
        </w:rPr>
        <w:t>选择</w:t>
      </w:r>
      <w:r>
        <w:rPr>
          <w:rFonts w:hint="eastAsia" w:ascii="仿宋_GB2312" w:hAnsi="仿宋_GB2312" w:eastAsia="仿宋_GB2312" w:cs="仿宋_GB2312"/>
          <w:b w:val="0"/>
          <w:bCs w:val="0"/>
          <w:sz w:val="24"/>
          <w:szCs w:val="28"/>
          <w:lang w:val="en-US" w:eastAsia="zh-CN"/>
        </w:rPr>
        <w:t>履约保函管理</w:t>
      </w:r>
      <w:r>
        <w:rPr>
          <w:rFonts w:hint="eastAsia" w:ascii="仿宋_GB2312" w:hAnsi="仿宋_GB2312" w:eastAsia="仿宋_GB2312" w:cs="仿宋_GB2312"/>
          <w:b w:val="0"/>
          <w:bCs w:val="0"/>
          <w:sz w:val="24"/>
          <w:szCs w:val="28"/>
        </w:rPr>
        <w:t>板块，点击【</w:t>
      </w:r>
      <w:r>
        <w:rPr>
          <w:rFonts w:hint="eastAsia" w:ascii="仿宋_GB2312" w:hAnsi="仿宋_GB2312" w:eastAsia="仿宋_GB2312" w:cs="仿宋_GB2312"/>
          <w:b w:val="0"/>
          <w:bCs w:val="0"/>
          <w:color w:val="0000FF"/>
          <w:sz w:val="24"/>
          <w:szCs w:val="28"/>
        </w:rPr>
        <w:t>了解更多</w:t>
      </w:r>
      <w:r>
        <w:rPr>
          <w:rFonts w:hint="eastAsia" w:ascii="仿宋_GB2312" w:hAnsi="仿宋_GB2312" w:eastAsia="仿宋_GB2312" w:cs="仿宋_GB2312"/>
          <w:b w:val="0"/>
          <w:bCs w:val="0"/>
          <w:sz w:val="24"/>
          <w:szCs w:val="28"/>
        </w:rPr>
        <w:t>】，进入</w:t>
      </w:r>
      <w:r>
        <w:rPr>
          <w:rFonts w:hint="eastAsia" w:ascii="仿宋_GB2312" w:hAnsi="仿宋_GB2312" w:eastAsia="仿宋_GB2312" w:cs="仿宋_GB2312"/>
          <w:b w:val="0"/>
          <w:bCs w:val="0"/>
          <w:sz w:val="24"/>
          <w:szCs w:val="28"/>
          <w:lang w:val="en-US" w:eastAsia="zh-CN"/>
        </w:rPr>
        <w:t>履约保函管理</w:t>
      </w:r>
      <w:r>
        <w:rPr>
          <w:rFonts w:hint="eastAsia" w:ascii="仿宋_GB2312" w:hAnsi="仿宋_GB2312" w:eastAsia="仿宋_GB2312" w:cs="仿宋_GB2312"/>
          <w:b w:val="0"/>
          <w:bCs w:val="0"/>
          <w:sz w:val="24"/>
          <w:szCs w:val="28"/>
        </w:rPr>
        <w:t>页面。</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i w:val="0"/>
          <w:strike w:val="0"/>
          <w:color w:val="000000"/>
          <w:sz w:val="21"/>
          <w:u w:val="none"/>
          <w:lang w:val="en-US" w:eastAsia="zh-CN"/>
        </w:rPr>
      </w:pPr>
      <w:r>
        <w:rPr>
          <w:rFonts w:hint="eastAsia" w:ascii="仿宋_GB2312" w:hAnsi="仿宋_GB2312" w:eastAsia="仿宋_GB2312" w:cs="仿宋_GB2312"/>
          <w:i w:val="0"/>
          <w:strike w:val="0"/>
          <w:color w:val="000000"/>
          <w:sz w:val="21"/>
          <w:u w:val="none"/>
          <w:lang w:val="en-US" w:eastAsia="zh-CN"/>
        </w:rPr>
        <w:drawing>
          <wp:inline distT="0" distB="0" distL="114300" distR="114300">
            <wp:extent cx="5266690" cy="1384935"/>
            <wp:effectExtent l="9525" t="9525" r="19685" b="15240"/>
            <wp:docPr id="47"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1"/>
                    <pic:cNvPicPr>
                      <a:picLocks noChangeAspect="1"/>
                    </pic:cNvPicPr>
                  </pic:nvPicPr>
                  <pic:blipFill>
                    <a:blip r:embed="rId24"/>
                    <a:srcRect t="48791"/>
                    <a:stretch>
                      <a:fillRect/>
                    </a:stretch>
                  </pic:blipFill>
                  <pic:spPr>
                    <a:xfrm>
                      <a:off x="0" y="0"/>
                      <a:ext cx="5266690" cy="1384935"/>
                    </a:xfrm>
                    <a:prstGeom prst="rect">
                      <a:avLst/>
                    </a:prstGeom>
                    <a:noFill/>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2）在项目列表中找到目标项目（当前页面仅展示未投产项目），核对【</w:t>
      </w:r>
      <w:r>
        <w:rPr>
          <w:rFonts w:hint="eastAsia" w:ascii="仿宋_GB2312" w:hAnsi="仿宋_GB2312" w:eastAsia="仿宋_GB2312" w:cs="仿宋_GB2312"/>
          <w:b w:val="0"/>
          <w:bCs w:val="0"/>
          <w:color w:val="0000FF"/>
          <w:sz w:val="24"/>
          <w:szCs w:val="28"/>
          <w:lang w:val="en-US" w:eastAsia="zh-CN"/>
        </w:rPr>
        <w:t>最低办理金额</w:t>
      </w:r>
      <w:r>
        <w:rPr>
          <w:rFonts w:hint="eastAsia" w:ascii="仿宋_GB2312" w:hAnsi="仿宋_GB2312" w:eastAsia="仿宋_GB2312" w:cs="仿宋_GB2312"/>
          <w:b w:val="0"/>
          <w:bCs w:val="0"/>
          <w:sz w:val="24"/>
          <w:szCs w:val="28"/>
          <w:lang w:val="en-US" w:eastAsia="zh-CN"/>
        </w:rPr>
        <w:t>】（单位：万元）。点击【</w:t>
      </w:r>
      <w:r>
        <w:rPr>
          <w:rFonts w:hint="eastAsia" w:ascii="仿宋_GB2312" w:hAnsi="仿宋_GB2312" w:eastAsia="仿宋_GB2312" w:cs="仿宋_GB2312"/>
          <w:b w:val="0"/>
          <w:bCs w:val="0"/>
          <w:color w:val="0000FF"/>
          <w:sz w:val="24"/>
          <w:szCs w:val="28"/>
          <w:lang w:val="en-US" w:eastAsia="zh-CN"/>
        </w:rPr>
        <w:t>申请</w:t>
      </w:r>
      <w:r>
        <w:rPr>
          <w:rFonts w:hint="eastAsia" w:ascii="仿宋_GB2312" w:hAnsi="仿宋_GB2312" w:eastAsia="仿宋_GB2312" w:cs="仿宋_GB2312"/>
          <w:b w:val="0"/>
          <w:bCs w:val="0"/>
          <w:sz w:val="24"/>
          <w:szCs w:val="28"/>
          <w:lang w:val="en-US" w:eastAsia="zh-CN"/>
        </w:rPr>
        <w:t>】按钮，填写：保函编号（需与金融机构出具的保函完全一致）、保函金额（≥最低办理金额）、保函有效期（需满足≥签发日期后9个月）、上传保函扫描件等。确认无误后，点击【</w:t>
      </w:r>
      <w:r>
        <w:rPr>
          <w:rFonts w:hint="eastAsia" w:ascii="仿宋_GB2312" w:hAnsi="仿宋_GB2312" w:eastAsia="仿宋_GB2312" w:cs="仿宋_GB2312"/>
          <w:b w:val="0"/>
          <w:bCs w:val="0"/>
          <w:color w:val="0000FF"/>
          <w:sz w:val="24"/>
          <w:szCs w:val="28"/>
          <w:lang w:val="en-US" w:eastAsia="zh-CN"/>
        </w:rPr>
        <w:t>提交</w:t>
      </w:r>
      <w:r>
        <w:rPr>
          <w:rFonts w:hint="eastAsia" w:ascii="仿宋_GB2312" w:hAnsi="仿宋_GB2312" w:eastAsia="仿宋_GB2312" w:cs="仿宋_GB2312"/>
          <w:b w:val="0"/>
          <w:bCs w:val="0"/>
          <w:sz w:val="24"/>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66690" cy="1816100"/>
            <wp:effectExtent l="9525" t="9525" r="19685" b="1587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25"/>
                    <a:srcRect b="8186"/>
                    <a:stretch>
                      <a:fillRect/>
                    </a:stretch>
                  </pic:blipFill>
                  <pic:spPr>
                    <a:xfrm>
                      <a:off x="0" y="0"/>
                      <a:ext cx="5266690" cy="181610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73675" cy="1981200"/>
            <wp:effectExtent l="9525" t="9525" r="12700" b="1587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26"/>
                    <a:srcRect t="9434"/>
                    <a:stretch>
                      <a:fillRect/>
                    </a:stretch>
                  </pic:blipFill>
                  <pic:spPr>
                    <a:xfrm>
                      <a:off x="0" y="0"/>
                      <a:ext cx="5273675" cy="198120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cs="仿宋_GB2312"/>
          <w:b w:val="0"/>
          <w:bCs w:val="0"/>
          <w:sz w:val="24"/>
          <w:szCs w:val="28"/>
          <w:lang w:val="en-US" w:eastAsia="zh-CN"/>
        </w:rPr>
        <w:t>3）</w:t>
      </w:r>
      <w:r>
        <w:rPr>
          <w:rFonts w:hint="eastAsia" w:ascii="仿宋_GB2312" w:hAnsi="仿宋_GB2312" w:eastAsia="仿宋_GB2312" w:cs="仿宋_GB2312"/>
          <w:b w:val="0"/>
          <w:bCs w:val="0"/>
          <w:sz w:val="24"/>
          <w:szCs w:val="28"/>
          <w:lang w:val="en-US" w:eastAsia="zh-CN"/>
        </w:rPr>
        <w:t>日志查询：点击【</w:t>
      </w:r>
      <w:r>
        <w:rPr>
          <w:rFonts w:hint="eastAsia" w:ascii="仿宋_GB2312" w:hAnsi="仿宋_GB2312" w:eastAsia="仿宋_GB2312" w:cs="仿宋_GB2312"/>
          <w:b w:val="0"/>
          <w:bCs w:val="0"/>
          <w:color w:val="0000FF"/>
          <w:sz w:val="24"/>
          <w:szCs w:val="28"/>
          <w:lang w:val="en-US" w:eastAsia="zh-CN"/>
        </w:rPr>
        <w:t>日志</w:t>
      </w:r>
      <w:r>
        <w:rPr>
          <w:rFonts w:hint="eastAsia" w:ascii="仿宋_GB2312" w:hAnsi="仿宋_GB2312" w:eastAsia="仿宋_GB2312" w:cs="仿宋_GB2312"/>
          <w:b w:val="0"/>
          <w:bCs w:val="0"/>
          <w:sz w:val="24"/>
          <w:szCs w:val="28"/>
          <w:lang w:val="en-US" w:eastAsia="zh-CN"/>
        </w:rPr>
        <w:t>】，查看保函历史操作记录（含时间、审核状态等）。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筛选查询：支持按项目名称、保函状态快速检索。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0" w:firstLineChars="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5275580" cy="1740535"/>
            <wp:effectExtent l="9525" t="9525" r="10795" b="15240"/>
            <wp:docPr id="59" name="图片 13" descr="174844050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descr="1748440506979"/>
                    <pic:cNvPicPr>
                      <a:picLocks noChangeAspect="1"/>
                    </pic:cNvPicPr>
                  </pic:nvPicPr>
                  <pic:blipFill>
                    <a:blip r:embed="rId27"/>
                    <a:srcRect t="8358"/>
                    <a:stretch>
                      <a:fillRect/>
                    </a:stretch>
                  </pic:blipFill>
                  <pic:spPr>
                    <a:xfrm>
                      <a:off x="0" y="0"/>
                      <a:ext cx="5275580" cy="1740535"/>
                    </a:xfrm>
                    <a:prstGeom prst="rect">
                      <a:avLst/>
                    </a:prstGeom>
                    <a:ln w="6350">
                      <a:solidFill>
                        <a:schemeClr val="bg1">
                          <a:lumMod val="85000"/>
                        </a:schemeClr>
                      </a:solidFill>
                    </a:ln>
                  </pic:spPr>
                </pic:pic>
              </a:graphicData>
            </a:graphic>
          </wp:inline>
        </w:drawing>
      </w:r>
      <w:r>
        <w:rPr>
          <w:rFonts w:hint="eastAsia" w:ascii="仿宋_GB2312" w:hAnsi="仿宋_GB2312" w:eastAsia="仿宋_GB2312" w:cs="仿宋_GB2312"/>
          <w:lang w:val="en-US" w:eastAsia="zh-CN"/>
        </w:rPr>
        <w:drawing>
          <wp:inline distT="0" distB="0" distL="114300" distR="114300">
            <wp:extent cx="5273675" cy="1745615"/>
            <wp:effectExtent l="9525" t="9525" r="12700" b="10160"/>
            <wp:docPr id="62" name="图片 15" descr="174844054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descr="1748440548404"/>
                    <pic:cNvPicPr>
                      <a:picLocks noChangeAspect="1"/>
                    </pic:cNvPicPr>
                  </pic:nvPicPr>
                  <pic:blipFill>
                    <a:blip r:embed="rId28"/>
                    <a:stretch>
                      <a:fillRect/>
                    </a:stretch>
                  </pic:blipFill>
                  <pic:spPr>
                    <a:xfrm>
                      <a:off x="0" y="0"/>
                      <a:ext cx="5273675" cy="1745615"/>
                    </a:xfrm>
                    <a:prstGeom prst="rect">
                      <a:avLst/>
                    </a:prstGeom>
                    <a:ln w="6350">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竞价申报</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外网</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机制电价竞价专区</w:t>
      </w:r>
      <w:r>
        <w:rPr>
          <w:rFonts w:hint="eastAsia" w:ascii="仿宋_GB2312" w:hAnsi="仿宋_GB2312" w:eastAsia="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竞价申报</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lang w:eastAsia="zh-CN"/>
        </w:rPr>
        <w:t>竞价申报主体</w:t>
      </w:r>
      <w:r>
        <w:rPr>
          <w:rFonts w:hint="eastAsia" w:ascii="仿宋_GB2312" w:hAnsi="仿宋_GB2312" w:eastAsia="仿宋_GB2312" w:cs="仿宋_GB2312"/>
          <w:b w:val="0"/>
          <w:bCs w:val="0"/>
          <w:sz w:val="24"/>
          <w:szCs w:val="28"/>
        </w:rPr>
        <w:t>需在规定</w:t>
      </w:r>
      <w:r>
        <w:rPr>
          <w:rFonts w:hint="eastAsia" w:ascii="仿宋_GB2312" w:hAnsi="仿宋_GB2312" w:eastAsia="仿宋_GB2312" w:cs="仿宋_GB2312"/>
          <w:b w:val="0"/>
          <w:bCs w:val="0"/>
          <w:sz w:val="24"/>
          <w:szCs w:val="28"/>
          <w:lang w:val="en-US" w:eastAsia="zh-CN"/>
        </w:rPr>
        <w:t>的</w:t>
      </w:r>
      <w:r>
        <w:rPr>
          <w:rFonts w:hint="eastAsia" w:ascii="仿宋_GB2312" w:hAnsi="仿宋_GB2312" w:eastAsia="仿宋_GB2312" w:cs="仿宋_GB2312"/>
          <w:b w:val="0"/>
          <w:bCs w:val="0"/>
          <w:sz w:val="24"/>
          <w:szCs w:val="28"/>
        </w:rPr>
        <w:t>申报时间内完成</w:t>
      </w:r>
      <w:r>
        <w:rPr>
          <w:rFonts w:hint="eastAsia" w:ascii="仿宋_GB2312" w:hAnsi="仿宋_GB2312" w:eastAsia="仿宋_GB2312" w:cs="仿宋_GB2312"/>
          <w:b w:val="0"/>
          <w:bCs w:val="0"/>
          <w:sz w:val="24"/>
          <w:szCs w:val="28"/>
          <w:lang w:val="en-US" w:eastAsia="zh-CN"/>
        </w:rPr>
        <w:t>机制电量和机制电价的</w:t>
      </w:r>
      <w:r>
        <w:rPr>
          <w:rFonts w:hint="eastAsia" w:ascii="仿宋_GB2312" w:hAnsi="仿宋_GB2312" w:eastAsia="仿宋_GB2312" w:cs="仿宋_GB2312"/>
          <w:b w:val="0"/>
          <w:bCs w:val="0"/>
          <w:sz w:val="24"/>
          <w:szCs w:val="28"/>
        </w:rPr>
        <w:t>申报，逾期</w:t>
      </w:r>
      <w:r>
        <w:rPr>
          <w:rFonts w:hint="eastAsia" w:ascii="仿宋_GB2312" w:hAnsi="仿宋_GB2312" w:eastAsia="仿宋_GB2312" w:cs="仿宋_GB2312"/>
          <w:b w:val="0"/>
          <w:bCs w:val="0"/>
          <w:sz w:val="24"/>
          <w:szCs w:val="28"/>
          <w:lang w:val="en-US" w:eastAsia="zh-CN"/>
        </w:rPr>
        <w:t>项目将失去当期竞价机会</w:t>
      </w:r>
      <w:r>
        <w:rPr>
          <w:rFonts w:hint="eastAsia" w:ascii="仿宋_GB2312" w:hAnsi="仿宋_GB2312" w:eastAsia="仿宋_GB2312" w:cs="仿宋_GB2312"/>
          <w:b w:val="0"/>
          <w:bCs w:val="0"/>
          <w:sz w:val="24"/>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b w:val="0"/>
          <w:bCs w:val="0"/>
          <w:sz w:val="24"/>
          <w:szCs w:val="28"/>
          <w:lang w:val="en-US" w:eastAsia="zh-CN"/>
        </w:rPr>
        <w:t>1）</w:t>
      </w:r>
      <w:r>
        <w:rPr>
          <w:rFonts w:hint="eastAsia" w:ascii="仿宋_GB2312" w:hAnsi="仿宋_GB2312" w:eastAsia="仿宋_GB2312" w:cs="仿宋_GB2312"/>
          <w:b w:val="0"/>
          <w:bCs w:val="0"/>
          <w:sz w:val="24"/>
          <w:szCs w:val="28"/>
        </w:rPr>
        <w:t>选择</w:t>
      </w:r>
      <w:r>
        <w:rPr>
          <w:rFonts w:hint="eastAsia" w:ascii="仿宋_GB2312" w:hAnsi="仿宋_GB2312" w:eastAsia="仿宋_GB2312" w:cs="仿宋_GB2312"/>
          <w:b w:val="0"/>
          <w:bCs w:val="0"/>
          <w:sz w:val="24"/>
          <w:szCs w:val="28"/>
          <w:lang w:val="en-US" w:eastAsia="zh-CN"/>
        </w:rPr>
        <w:t>竞价申报</w:t>
      </w:r>
      <w:r>
        <w:rPr>
          <w:rFonts w:hint="eastAsia" w:ascii="仿宋_GB2312" w:hAnsi="仿宋_GB2312" w:eastAsia="仿宋_GB2312" w:cs="仿宋_GB2312"/>
          <w:b w:val="0"/>
          <w:bCs w:val="0"/>
          <w:sz w:val="24"/>
          <w:szCs w:val="28"/>
        </w:rPr>
        <w:t>板块，点击【</w:t>
      </w:r>
      <w:r>
        <w:rPr>
          <w:rFonts w:hint="eastAsia" w:ascii="仿宋_GB2312" w:hAnsi="仿宋_GB2312" w:eastAsia="仿宋_GB2312" w:cs="仿宋_GB2312"/>
          <w:b w:val="0"/>
          <w:bCs w:val="0"/>
          <w:color w:val="0000FF"/>
          <w:sz w:val="24"/>
          <w:szCs w:val="28"/>
        </w:rPr>
        <w:t>了解更多</w:t>
      </w:r>
      <w:r>
        <w:rPr>
          <w:rFonts w:hint="eastAsia" w:ascii="仿宋_GB2312" w:hAnsi="仿宋_GB2312" w:eastAsia="仿宋_GB2312" w:cs="仿宋_GB2312"/>
          <w:b w:val="0"/>
          <w:bCs w:val="0"/>
          <w:sz w:val="24"/>
          <w:szCs w:val="28"/>
        </w:rPr>
        <w:t>】，进入</w:t>
      </w:r>
      <w:r>
        <w:rPr>
          <w:rFonts w:hint="eastAsia" w:ascii="仿宋_GB2312" w:hAnsi="仿宋_GB2312" w:eastAsia="仿宋_GB2312" w:cs="仿宋_GB2312"/>
          <w:b w:val="0"/>
          <w:bCs w:val="0"/>
          <w:sz w:val="24"/>
          <w:szCs w:val="28"/>
          <w:lang w:val="en-US" w:eastAsia="zh-CN"/>
        </w:rPr>
        <w:t>竞价申报</w:t>
      </w:r>
      <w:r>
        <w:rPr>
          <w:rFonts w:hint="eastAsia" w:ascii="仿宋_GB2312" w:hAnsi="仿宋_GB2312" w:eastAsia="仿宋_GB2312" w:cs="仿宋_GB2312"/>
          <w:b w:val="0"/>
          <w:bCs w:val="0"/>
          <w:sz w:val="24"/>
          <w:szCs w:val="28"/>
        </w:rPr>
        <w:t>页面进行申报。</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right="0" w:firstLine="0" w:firstLineChars="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72405" cy="1404620"/>
            <wp:effectExtent l="9525" t="9525" r="13970" b="20955"/>
            <wp:docPr id="65"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descr="1"/>
                    <pic:cNvPicPr>
                      <a:picLocks noChangeAspect="1"/>
                    </pic:cNvPicPr>
                  </pic:nvPicPr>
                  <pic:blipFill>
                    <a:blip r:embed="rId29"/>
                    <a:srcRect t="48570"/>
                    <a:stretch>
                      <a:fillRect/>
                    </a:stretch>
                  </pic:blipFill>
                  <pic:spPr>
                    <a:xfrm>
                      <a:off x="0" y="0"/>
                      <a:ext cx="5272405" cy="1404620"/>
                    </a:xfrm>
                    <a:prstGeom prst="rect">
                      <a:avLst/>
                    </a:prstGeom>
                    <a:ln w="6350">
                      <a:solidFill>
                        <a:schemeClr val="bg1">
                          <a:lumMod val="85000"/>
                        </a:schemeClr>
                      </a:solid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竞价申报</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按钮</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填写申报电量和申报电价（系统将根据项目所在省份当期规则，显示申报价格上下限和申报电量上限）</w:t>
      </w:r>
      <w:r>
        <w:rPr>
          <w:rFonts w:hint="eastAsia" w:ascii="仿宋_GB2312" w:hAnsi="仿宋_GB2312" w:eastAsia="仿宋_GB2312" w:cs="仿宋_GB2312"/>
          <w:b w:val="0"/>
          <w:bCs w:val="0"/>
          <w:sz w:val="24"/>
          <w:szCs w:val="28"/>
          <w:lang w:eastAsia="zh-CN"/>
        </w:rPr>
        <w:t>。</w:t>
      </w: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确认</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后，系统弹出二次确认对话框（含完整申报信息），最终核对无误后点击【</w:t>
      </w:r>
      <w:r>
        <w:rPr>
          <w:rFonts w:hint="eastAsia" w:ascii="仿宋_GB2312" w:hAnsi="仿宋_GB2312" w:eastAsia="仿宋_GB2312" w:cs="仿宋_GB2312"/>
          <w:b w:val="0"/>
          <w:bCs w:val="0"/>
          <w:color w:val="0000FF"/>
          <w:sz w:val="24"/>
          <w:szCs w:val="28"/>
          <w:lang w:val="en-US" w:eastAsia="zh-CN"/>
        </w:rPr>
        <w:t>确认</w:t>
      </w:r>
      <w:r>
        <w:rPr>
          <w:rFonts w:hint="eastAsia" w:ascii="仿宋_GB2312" w:hAnsi="仿宋_GB2312" w:eastAsia="仿宋_GB2312" w:cs="仿宋_GB2312"/>
          <w:b w:val="0"/>
          <w:bCs w:val="0"/>
          <w:sz w:val="24"/>
          <w:szCs w:val="28"/>
          <w:lang w:val="en-US" w:eastAsia="zh-CN"/>
        </w:rPr>
        <w:t>】完成申报。</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color w:val="0000FF"/>
          <w:sz w:val="24"/>
          <w:szCs w:val="28"/>
          <w:lang w:val="en-US" w:eastAsia="zh-CN"/>
        </w:rPr>
        <w:t>重要提示</w:t>
      </w:r>
      <w:r>
        <w:rPr>
          <w:rFonts w:hint="eastAsia" w:ascii="仿宋_GB2312" w:hAnsi="仿宋_GB2312" w:eastAsia="仿宋_GB2312" w:cs="仿宋_GB2312"/>
          <w:b w:val="0"/>
          <w:bCs w:val="0"/>
          <w:sz w:val="24"/>
          <w:szCs w:val="28"/>
          <w:lang w:val="en-US" w:eastAsia="zh-CN"/>
        </w:rPr>
        <w:t>：提交成功后申报数据将立即锁定，不可查看/修改；部分省份允许一次预申报演习机会（以当期公告为准）。</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rPr>
        <w:drawing>
          <wp:inline distT="0" distB="0" distL="114300" distR="114300">
            <wp:extent cx="5267325" cy="1758315"/>
            <wp:effectExtent l="9525" t="9525" r="19050" b="10160"/>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30"/>
                    <a:srcRect b="35137"/>
                    <a:stretch>
                      <a:fillRect/>
                    </a:stretch>
                  </pic:blipFill>
                  <pic:spPr>
                    <a:xfrm>
                      <a:off x="0" y="0"/>
                      <a:ext cx="5267325" cy="1758315"/>
                    </a:xfrm>
                    <a:prstGeom prst="rect">
                      <a:avLst/>
                    </a:prstGeom>
                    <a:noFill/>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75580" cy="2462530"/>
            <wp:effectExtent l="9525" t="9525" r="10795" b="1714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31"/>
                    <a:stretch>
                      <a:fillRect/>
                    </a:stretch>
                  </pic:blipFill>
                  <pic:spPr>
                    <a:xfrm>
                      <a:off x="0" y="0"/>
                      <a:ext cx="5275580" cy="246253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71135" cy="2820670"/>
            <wp:effectExtent l="9525" t="9525" r="15240" b="1460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32"/>
                    <a:stretch>
                      <a:fillRect/>
                    </a:stretch>
                  </pic:blipFill>
                  <pic:spPr>
                    <a:xfrm>
                      <a:off x="0" y="0"/>
                      <a:ext cx="5271135" cy="282067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3）筛选查询：支持按竞价申报主体、项目名称等条件进行精确查询，项目列表中展示项目主要信息以及当前业务状态。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rPr>
        <w:drawing>
          <wp:inline distT="0" distB="0" distL="114300" distR="114300">
            <wp:extent cx="5269230" cy="1729740"/>
            <wp:effectExtent l="9525" t="9525" r="17145" b="13335"/>
            <wp:docPr id="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pic:cNvPicPr>
                      <a:picLocks noChangeAspect="1"/>
                    </pic:cNvPicPr>
                  </pic:nvPicPr>
                  <pic:blipFill>
                    <a:blip r:embed="rId33"/>
                    <a:srcRect b="35846"/>
                    <a:stretch>
                      <a:fillRect/>
                    </a:stretch>
                  </pic:blipFill>
                  <pic:spPr>
                    <a:xfrm>
                      <a:off x="0" y="0"/>
                      <a:ext cx="5269230" cy="1729740"/>
                    </a:xfrm>
                    <a:prstGeom prst="rect">
                      <a:avLst/>
                    </a:prstGeom>
                    <a:noFill/>
                    <a:ln w="6350">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竞价结果公示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2"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外网</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机制电价竞价专区 -</w:t>
      </w:r>
      <w:r>
        <w:rPr>
          <w:rFonts w:hint="eastAsia" w:ascii="仿宋_GB2312" w:hAnsi="仿宋_GB2312" w:eastAsia="仿宋_GB2312" w:cs="仿宋_GB2312"/>
          <w:b w:val="0"/>
          <w:bCs w:val="0"/>
          <w:sz w:val="24"/>
          <w:szCs w:val="28"/>
          <w:lang w:val="en-US" w:eastAsia="zh-CN"/>
        </w:rPr>
        <w:t xml:space="preserve"> 竞价公示与公布 - </w:t>
      </w:r>
      <w:r>
        <w:rPr>
          <w:rFonts w:hint="eastAsia" w:ascii="仿宋_GB2312" w:hAnsi="仿宋_GB2312" w:cs="仿宋_GB2312"/>
          <w:b w:val="0"/>
          <w:bCs w:val="0"/>
          <w:sz w:val="24"/>
          <w:szCs w:val="28"/>
          <w:lang w:val="en-US" w:eastAsia="zh-CN"/>
        </w:rPr>
        <w:t>竞价结果公示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rPr>
      </w:pPr>
      <w:r>
        <w:rPr>
          <w:rFonts w:hint="eastAsia" w:ascii="仿宋_GB2312" w:hAnsi="仿宋_GB2312" w:eastAsia="仿宋_GB2312" w:cs="仿宋_GB2312"/>
          <w:b w:val="0"/>
          <w:bCs w:val="0"/>
          <w:sz w:val="24"/>
          <w:szCs w:val="28"/>
          <w:lang w:val="en-US" w:eastAsia="zh-CN"/>
        </w:rPr>
        <w:t>竞价出清结果将在规定</w:t>
      </w:r>
      <w:r>
        <w:rPr>
          <w:rFonts w:hint="eastAsia" w:ascii="仿宋_GB2312" w:hAnsi="仿宋_GB2312" w:eastAsia="仿宋_GB2312" w:cs="仿宋_GB2312"/>
          <w:b w:val="0"/>
          <w:bCs w:val="0"/>
          <w:sz w:val="24"/>
          <w:szCs w:val="28"/>
        </w:rPr>
        <w:t>公示</w:t>
      </w:r>
      <w:r>
        <w:rPr>
          <w:rFonts w:hint="eastAsia" w:ascii="仿宋_GB2312" w:hAnsi="仿宋_GB2312" w:eastAsia="仿宋_GB2312" w:cs="仿宋_GB2312"/>
          <w:b w:val="0"/>
          <w:bCs w:val="0"/>
          <w:sz w:val="24"/>
          <w:szCs w:val="28"/>
          <w:lang w:val="en-US" w:eastAsia="zh-CN"/>
        </w:rPr>
        <w:t>期</w:t>
      </w:r>
      <w:r>
        <w:rPr>
          <w:rFonts w:hint="eastAsia" w:ascii="仿宋_GB2312" w:hAnsi="仿宋_GB2312" w:eastAsia="仿宋_GB2312" w:cs="仿宋_GB2312"/>
          <w:b w:val="0"/>
          <w:bCs w:val="0"/>
          <w:sz w:val="24"/>
          <w:szCs w:val="28"/>
        </w:rPr>
        <w:t>内</w:t>
      </w:r>
      <w:r>
        <w:rPr>
          <w:rFonts w:hint="eastAsia" w:ascii="仿宋_GB2312" w:hAnsi="仿宋_GB2312" w:eastAsia="仿宋_GB2312" w:cs="仿宋_GB2312"/>
          <w:b w:val="0"/>
          <w:bCs w:val="0"/>
          <w:sz w:val="24"/>
          <w:szCs w:val="28"/>
          <w:lang w:val="en-US" w:eastAsia="zh-CN"/>
        </w:rPr>
        <w:t>公开公示</w:t>
      </w:r>
      <w:r>
        <w:rPr>
          <w:rFonts w:hint="eastAsia" w:ascii="仿宋_GB2312" w:hAnsi="仿宋_GB2312" w:eastAsia="仿宋_GB2312" w:cs="仿宋_GB2312"/>
          <w:b w:val="0"/>
          <w:bCs w:val="0"/>
          <w:sz w:val="24"/>
          <w:szCs w:val="28"/>
        </w:rPr>
        <w:t>，公示期间</w:t>
      </w:r>
      <w:r>
        <w:rPr>
          <w:rFonts w:hint="eastAsia" w:ascii="仿宋_GB2312" w:hAnsi="仿宋_GB2312" w:eastAsia="仿宋_GB2312" w:cs="仿宋_GB2312"/>
          <w:b w:val="0"/>
          <w:bCs w:val="0"/>
          <w:sz w:val="24"/>
          <w:szCs w:val="28"/>
          <w:lang w:val="en-US" w:eastAsia="zh-CN"/>
        </w:rPr>
        <w:t>接受社会公众对结果项目进行实名异议举报。</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8"/>
          <w:szCs w:val="28"/>
          <w:highlight w:val="yellow"/>
          <w:lang w:val="en-US"/>
        </w:rPr>
      </w:pPr>
      <w:r>
        <w:rPr>
          <w:rFonts w:hint="eastAsia" w:ascii="仿宋_GB2312" w:hAnsi="仿宋_GB2312" w:eastAsia="仿宋_GB2312" w:cs="仿宋_GB2312"/>
          <w:b w:val="0"/>
          <w:bCs w:val="0"/>
          <w:sz w:val="24"/>
          <w:szCs w:val="28"/>
          <w:lang w:val="en-US" w:eastAsia="zh-CN"/>
        </w:rPr>
        <w:t>1）首页底部【</w:t>
      </w:r>
      <w:r>
        <w:rPr>
          <w:rFonts w:hint="eastAsia" w:ascii="仿宋_GB2312" w:hAnsi="仿宋_GB2312" w:eastAsia="仿宋_GB2312" w:cs="仿宋_GB2312"/>
          <w:b w:val="0"/>
          <w:bCs w:val="0"/>
          <w:color w:val="0000FF"/>
          <w:sz w:val="24"/>
          <w:szCs w:val="28"/>
          <w:lang w:val="en-US" w:eastAsia="zh-CN"/>
        </w:rPr>
        <w:t>竞价公示与公布</w:t>
      </w:r>
      <w:r>
        <w:rPr>
          <w:rFonts w:hint="eastAsia" w:ascii="仿宋_GB2312" w:hAnsi="仿宋_GB2312" w:eastAsia="仿宋_GB2312" w:cs="仿宋_GB2312"/>
          <w:b w:val="0"/>
          <w:bCs w:val="0"/>
          <w:sz w:val="24"/>
          <w:szCs w:val="28"/>
          <w:lang w:val="en-US" w:eastAsia="zh-CN"/>
        </w:rPr>
        <w:t>】板块中【</w:t>
      </w:r>
      <w:r>
        <w:rPr>
          <w:rFonts w:hint="eastAsia" w:ascii="仿宋_GB2312" w:hAnsi="仿宋_GB2312" w:cs="仿宋_GB2312"/>
          <w:b w:val="0"/>
          <w:bCs w:val="0"/>
          <w:color w:val="0000FF"/>
          <w:sz w:val="24"/>
          <w:szCs w:val="28"/>
          <w:lang w:val="en-US" w:eastAsia="zh-CN"/>
        </w:rPr>
        <w:t>竞价结果公示</w:t>
      </w:r>
      <w:r>
        <w:rPr>
          <w:rFonts w:hint="eastAsia" w:ascii="仿宋_GB2312" w:hAnsi="仿宋_GB2312" w:eastAsia="仿宋_GB2312" w:cs="仿宋_GB2312"/>
          <w:b w:val="0"/>
          <w:bCs w:val="0"/>
          <w:sz w:val="24"/>
          <w:szCs w:val="28"/>
          <w:lang w:val="en-US" w:eastAsia="zh-CN"/>
        </w:rPr>
        <w:t>】（展示部分项目）</w:t>
      </w: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更多</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查看完整公示列表</w:t>
      </w:r>
      <w:r>
        <w:rPr>
          <w:rFonts w:hint="eastAsia" w:ascii="仿宋_GB2312" w:hAnsi="仿宋_GB2312" w:eastAsia="仿宋_GB2312" w:cs="仿宋_GB2312"/>
          <w:b w:val="0"/>
          <w:bCs w:val="0"/>
          <w:sz w:val="24"/>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szCs w:val="32"/>
          <w:lang w:eastAsia="zh-CN"/>
        </w:rPr>
      </w:pPr>
      <w:r>
        <w:drawing>
          <wp:inline distT="0" distB="0" distL="114300" distR="114300">
            <wp:extent cx="5265420" cy="956310"/>
            <wp:effectExtent l="9525" t="9525" r="20955" b="1206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4"/>
                    <a:stretch>
                      <a:fillRect/>
                    </a:stretch>
                  </pic:blipFill>
                  <pic:spPr>
                    <a:xfrm>
                      <a:off x="0" y="0"/>
                      <a:ext cx="5265420" cy="95631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highlight w:val="yellow"/>
          <w:lang w:val="en-US" w:eastAsia="zh-CN"/>
        </w:rPr>
      </w:pPr>
      <w:r>
        <w:rPr>
          <w:rFonts w:hint="eastAsia" w:ascii="仿宋_GB2312" w:hAnsi="仿宋_GB2312" w:eastAsia="仿宋_GB2312" w:cs="仿宋_GB2312"/>
          <w:b w:val="0"/>
          <w:bCs w:val="0"/>
          <w:sz w:val="24"/>
          <w:szCs w:val="28"/>
          <w:lang w:val="en-US" w:eastAsia="zh-CN"/>
        </w:rPr>
        <w:t>2）筛选查询：支持根据受理电力公司、项目名称等进行精确查找。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0" w:firstLineChars="0"/>
        <w:jc w:val="left"/>
        <w:textAlignment w:val="auto"/>
        <w:rPr>
          <w:rFonts w:hint="eastAsia" w:ascii="仿宋_GB2312" w:hAnsi="仿宋_GB2312" w:eastAsia="仿宋_GB2312" w:cs="仿宋_GB2312"/>
          <w:lang w:val="en-US" w:eastAsia="zh-CN"/>
        </w:rPr>
      </w:pPr>
      <w:r>
        <w:drawing>
          <wp:inline distT="0" distB="0" distL="114300" distR="114300">
            <wp:extent cx="5264785" cy="1419860"/>
            <wp:effectExtent l="9525" t="9525" r="21590" b="184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5"/>
                    <a:stretch>
                      <a:fillRect/>
                    </a:stretch>
                  </pic:blipFill>
                  <pic:spPr>
                    <a:xfrm>
                      <a:off x="0" y="0"/>
                      <a:ext cx="5264785" cy="141986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3）在公示列表中找到需举报的项目，点击【</w:t>
      </w:r>
      <w:r>
        <w:rPr>
          <w:rFonts w:hint="eastAsia" w:ascii="仿宋_GB2312" w:hAnsi="仿宋_GB2312" w:cs="仿宋_GB2312"/>
          <w:b w:val="0"/>
          <w:bCs w:val="0"/>
          <w:color w:val="0000FF"/>
          <w:sz w:val="24"/>
          <w:szCs w:val="28"/>
          <w:lang w:val="en-US" w:eastAsia="zh-CN"/>
        </w:rPr>
        <w:t>异议反馈</w:t>
      </w:r>
      <w:r>
        <w:rPr>
          <w:rFonts w:hint="eastAsia" w:ascii="仿宋_GB2312" w:hAnsi="仿宋_GB2312" w:eastAsia="仿宋_GB2312" w:cs="仿宋_GB2312"/>
          <w:b w:val="0"/>
          <w:bCs w:val="0"/>
          <w:sz w:val="24"/>
          <w:szCs w:val="28"/>
          <w:lang w:val="en-US" w:eastAsia="zh-CN"/>
        </w:rPr>
        <w:t>】按钮，在弹窗中填写详细说明，上传证明材料，勾选“</w:t>
      </w:r>
      <w:r>
        <w:rPr>
          <w:rFonts w:hint="eastAsia" w:ascii="仿宋_GB2312" w:hAnsi="仿宋_GB2312" w:eastAsia="仿宋_GB2312" w:cs="仿宋_GB2312"/>
          <w:b w:val="0"/>
          <w:bCs w:val="0"/>
          <w:color w:val="000000" w:themeColor="text1"/>
          <w:sz w:val="24"/>
          <w:szCs w:val="28"/>
          <w:lang w:val="en-US" w:eastAsia="zh-CN"/>
          <w14:textFill>
            <w14:solidFill>
              <w14:schemeClr w14:val="tx1"/>
            </w14:solidFill>
          </w14:textFill>
        </w:rPr>
        <w:t>举报真实性承诺</w:t>
      </w:r>
      <w:r>
        <w:rPr>
          <w:rFonts w:hint="eastAsia" w:ascii="仿宋_GB2312" w:hAnsi="仿宋_GB2312" w:eastAsia="仿宋_GB2312" w:cs="仿宋_GB2312"/>
          <w:b w:val="0"/>
          <w:bCs w:val="0"/>
          <w:sz w:val="24"/>
          <w:szCs w:val="28"/>
          <w:lang w:val="en-US" w:eastAsia="zh-CN"/>
        </w:rPr>
        <w:t>”，点击【</w:t>
      </w:r>
      <w:r>
        <w:rPr>
          <w:rFonts w:hint="eastAsia" w:ascii="仿宋_GB2312" w:hAnsi="仿宋_GB2312" w:eastAsia="仿宋_GB2312" w:cs="仿宋_GB2312"/>
          <w:b w:val="0"/>
          <w:bCs w:val="0"/>
          <w:color w:val="0000FF"/>
          <w:sz w:val="24"/>
          <w:szCs w:val="28"/>
          <w:lang w:val="en-US" w:eastAsia="zh-CN"/>
        </w:rPr>
        <w:t>提交</w:t>
      </w:r>
      <w:r>
        <w:rPr>
          <w:rFonts w:hint="eastAsia" w:ascii="仿宋_GB2312" w:hAnsi="仿宋_GB2312" w:eastAsia="仿宋_GB2312" w:cs="仿宋_GB2312"/>
          <w:b w:val="0"/>
          <w:bCs w:val="0"/>
          <w:sz w:val="24"/>
          <w:szCs w:val="28"/>
          <w:lang w:val="en-US" w:eastAsia="zh-CN"/>
        </w:rPr>
        <w:t>】完成举报。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如经过竞价工作组核查举报有效，则被举报项目状态变更为【</w:t>
      </w:r>
      <w:r>
        <w:rPr>
          <w:rFonts w:hint="eastAsia" w:ascii="仿宋_GB2312" w:hAnsi="仿宋_GB2312" w:eastAsia="仿宋_GB2312" w:cs="仿宋_GB2312"/>
          <w:b w:val="0"/>
          <w:bCs w:val="0"/>
          <w:color w:val="0000FF"/>
          <w:sz w:val="24"/>
          <w:szCs w:val="28"/>
          <w:lang w:val="en-US" w:eastAsia="zh-CN"/>
        </w:rPr>
        <w:t>取消竞价资格</w:t>
      </w:r>
      <w:r>
        <w:rPr>
          <w:rFonts w:hint="eastAsia" w:ascii="仿宋_GB2312" w:hAnsi="仿宋_GB2312" w:eastAsia="仿宋_GB2312" w:cs="仿宋_GB2312"/>
          <w:b w:val="0"/>
          <w:bCs w:val="0"/>
          <w:sz w:val="24"/>
          <w:szCs w:val="28"/>
          <w:lang w:val="en-US" w:eastAsia="zh-CN"/>
        </w:rPr>
        <w:t>】，取消竞价则丧失当期入选资格，违规记录纳入企业信用档案；核查举报无效，则</w:t>
      </w:r>
      <w:r>
        <w:rPr>
          <w:rFonts w:hint="eastAsia" w:ascii="仿宋_GB2312" w:hAnsi="仿宋_GB2312" w:cs="仿宋_GB2312"/>
          <w:b w:val="0"/>
          <w:bCs w:val="0"/>
          <w:sz w:val="24"/>
          <w:szCs w:val="28"/>
          <w:lang w:val="en-US" w:eastAsia="zh-CN"/>
        </w:rPr>
        <w:t>维持原</w:t>
      </w:r>
      <w:r>
        <w:rPr>
          <w:rFonts w:hint="eastAsia" w:ascii="仿宋_GB2312" w:hAnsi="仿宋_GB2312" w:eastAsia="仿宋_GB2312" w:cs="仿宋_GB2312"/>
          <w:b w:val="0"/>
          <w:bCs w:val="0"/>
          <w:sz w:val="24"/>
          <w:szCs w:val="28"/>
          <w:lang w:val="en-US" w:eastAsia="zh-CN"/>
        </w:rPr>
        <w:t>【</w:t>
      </w:r>
      <w:r>
        <w:rPr>
          <w:rFonts w:hint="eastAsia" w:ascii="仿宋_GB2312" w:hAnsi="仿宋_GB2312" w:eastAsia="仿宋_GB2312" w:cs="仿宋_GB2312"/>
          <w:b w:val="0"/>
          <w:bCs w:val="0"/>
          <w:color w:val="0000FF"/>
          <w:sz w:val="24"/>
          <w:szCs w:val="28"/>
          <w:lang w:val="en-US" w:eastAsia="zh-CN"/>
        </w:rPr>
        <w:t>纳入机制</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结论</w:t>
      </w:r>
      <w:r>
        <w:rPr>
          <w:rFonts w:hint="eastAsia" w:ascii="仿宋_GB2312" w:hAnsi="仿宋_GB2312" w:eastAsia="仿宋_GB2312" w:cs="仿宋_GB2312"/>
          <w:b w:val="0"/>
          <w:bCs w:val="0"/>
          <w:sz w:val="24"/>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77485" cy="2129155"/>
            <wp:effectExtent l="9525" t="9525" r="21590" b="20320"/>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pic:cNvPicPr>
                      <a:picLocks noChangeAspect="1"/>
                    </pic:cNvPicPr>
                  </pic:nvPicPr>
                  <pic:blipFill>
                    <a:blip r:embed="rId36"/>
                    <a:stretch>
                      <a:fillRect/>
                    </a:stretch>
                  </pic:blipFill>
                  <pic:spPr>
                    <a:xfrm>
                      <a:off x="0" y="0"/>
                      <a:ext cx="5277485" cy="2129155"/>
                    </a:xfrm>
                    <a:prstGeom prst="rect">
                      <a:avLst/>
                    </a:prstGeom>
                    <a:noFill/>
                    <a:ln w="6350">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竞价结果公布</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外网</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机制电价竞价专区 -</w:t>
      </w:r>
      <w:r>
        <w:rPr>
          <w:rFonts w:hint="eastAsia" w:ascii="仿宋_GB2312" w:hAnsi="仿宋_GB2312" w:eastAsia="仿宋_GB2312" w:cs="仿宋_GB2312"/>
          <w:b w:val="0"/>
          <w:bCs w:val="0"/>
          <w:sz w:val="24"/>
          <w:szCs w:val="28"/>
          <w:lang w:val="en-US" w:eastAsia="zh-CN"/>
        </w:rPr>
        <w:t xml:space="preserve"> 竞价专栏/竞价公示与公布 - </w:t>
      </w:r>
      <w:r>
        <w:rPr>
          <w:rFonts w:hint="eastAsia" w:ascii="仿宋_GB2312" w:hAnsi="仿宋_GB2312" w:cs="仿宋_GB2312"/>
          <w:b w:val="0"/>
          <w:bCs w:val="0"/>
          <w:sz w:val="24"/>
          <w:szCs w:val="28"/>
          <w:lang w:val="en-US" w:eastAsia="zh-CN"/>
        </w:rPr>
        <w:t>竞价结果公布</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竞价</w:t>
      </w:r>
      <w:r>
        <w:rPr>
          <w:rFonts w:hint="eastAsia" w:ascii="仿宋_GB2312" w:hAnsi="仿宋_GB2312" w:cs="仿宋_GB2312"/>
          <w:b w:val="0"/>
          <w:bCs w:val="0"/>
          <w:sz w:val="24"/>
          <w:szCs w:val="28"/>
          <w:lang w:val="en-US" w:eastAsia="zh-CN"/>
        </w:rPr>
        <w:t>竞价结果公布</w:t>
      </w:r>
      <w:r>
        <w:rPr>
          <w:rFonts w:hint="eastAsia" w:ascii="仿宋_GB2312" w:hAnsi="仿宋_GB2312" w:eastAsia="仿宋_GB2312" w:cs="仿宋_GB2312"/>
          <w:b w:val="0"/>
          <w:bCs w:val="0"/>
          <w:sz w:val="24"/>
          <w:szCs w:val="28"/>
          <w:lang w:val="en-US" w:eastAsia="zh-CN"/>
        </w:rPr>
        <w:t>，会同步在【</w:t>
      </w:r>
      <w:r>
        <w:rPr>
          <w:rFonts w:hint="eastAsia" w:ascii="仿宋_GB2312" w:hAnsi="仿宋_GB2312" w:eastAsia="仿宋_GB2312" w:cs="仿宋_GB2312"/>
          <w:b w:val="0"/>
          <w:bCs w:val="0"/>
          <w:color w:val="0000FF"/>
          <w:sz w:val="24"/>
          <w:szCs w:val="28"/>
          <w:lang w:val="en-US" w:eastAsia="zh-CN"/>
        </w:rPr>
        <w:t>竞价专栏</w:t>
      </w:r>
      <w:r>
        <w:rPr>
          <w:rFonts w:hint="eastAsia" w:ascii="仿宋_GB2312" w:hAnsi="仿宋_GB2312" w:eastAsia="仿宋_GB2312" w:cs="仿宋_GB2312"/>
          <w:b w:val="0"/>
          <w:bCs w:val="0"/>
          <w:sz w:val="24"/>
          <w:szCs w:val="28"/>
          <w:lang w:val="en-US" w:eastAsia="zh-CN"/>
        </w:rPr>
        <w:t>】和【</w:t>
      </w:r>
      <w:r>
        <w:rPr>
          <w:rFonts w:hint="eastAsia" w:ascii="仿宋_GB2312" w:hAnsi="仿宋_GB2312" w:eastAsia="仿宋_GB2312" w:cs="仿宋_GB2312"/>
          <w:b w:val="0"/>
          <w:bCs w:val="0"/>
          <w:color w:val="0000FF"/>
          <w:sz w:val="24"/>
          <w:szCs w:val="28"/>
          <w:lang w:val="en-US" w:eastAsia="zh-CN"/>
        </w:rPr>
        <w:t>竞价公示与公布</w:t>
      </w:r>
      <w:r>
        <w:rPr>
          <w:rFonts w:hint="eastAsia" w:ascii="仿宋_GB2312" w:hAnsi="仿宋_GB2312" w:eastAsia="仿宋_GB2312" w:cs="仿宋_GB2312"/>
          <w:b w:val="0"/>
          <w:bCs w:val="0"/>
          <w:sz w:val="24"/>
          <w:szCs w:val="28"/>
          <w:lang w:val="en-US" w:eastAsia="zh-CN"/>
        </w:rPr>
        <w:t>】板块展示。内容包括：最终纳入机制电价的项目清单、当期机制电价、纳入的机制电量以及执行年限。</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highlight w:val="yellow"/>
          <w:lang w:val="en-US"/>
        </w:rPr>
      </w:pPr>
      <w:r>
        <w:rPr>
          <w:rFonts w:hint="eastAsia" w:ascii="仿宋_GB2312" w:hAnsi="仿宋_GB2312" w:eastAsia="仿宋_GB2312" w:cs="仿宋_GB2312"/>
          <w:b w:val="0"/>
          <w:bCs w:val="0"/>
          <w:sz w:val="24"/>
          <w:szCs w:val="28"/>
          <w:lang w:val="en-US" w:eastAsia="zh-CN"/>
        </w:rPr>
        <w:t>1）首页底部【</w:t>
      </w:r>
      <w:r>
        <w:rPr>
          <w:rFonts w:hint="eastAsia" w:ascii="仿宋_GB2312" w:hAnsi="仿宋_GB2312" w:eastAsia="仿宋_GB2312" w:cs="仿宋_GB2312"/>
          <w:b w:val="0"/>
          <w:bCs w:val="0"/>
          <w:color w:val="0000FF"/>
          <w:sz w:val="24"/>
          <w:szCs w:val="28"/>
          <w:lang w:val="en-US" w:eastAsia="zh-CN"/>
        </w:rPr>
        <w:t>竞价公示与公布</w:t>
      </w:r>
      <w:r>
        <w:rPr>
          <w:rFonts w:hint="eastAsia" w:ascii="仿宋_GB2312" w:hAnsi="仿宋_GB2312" w:eastAsia="仿宋_GB2312" w:cs="仿宋_GB2312"/>
          <w:b w:val="0"/>
          <w:bCs w:val="0"/>
          <w:sz w:val="24"/>
          <w:szCs w:val="28"/>
          <w:lang w:val="en-US" w:eastAsia="zh-CN"/>
        </w:rPr>
        <w:t>】板块中【</w:t>
      </w:r>
      <w:r>
        <w:rPr>
          <w:rFonts w:hint="eastAsia" w:ascii="仿宋_GB2312" w:hAnsi="仿宋_GB2312" w:cs="仿宋_GB2312"/>
          <w:b w:val="0"/>
          <w:bCs w:val="0"/>
          <w:color w:val="0000FF"/>
          <w:sz w:val="24"/>
          <w:szCs w:val="28"/>
          <w:lang w:val="en-US" w:eastAsia="zh-CN"/>
        </w:rPr>
        <w:t>竞价结果公布</w:t>
      </w:r>
      <w:r>
        <w:rPr>
          <w:rFonts w:hint="eastAsia" w:ascii="仿宋_GB2312" w:hAnsi="仿宋_GB2312" w:eastAsia="仿宋_GB2312" w:cs="仿宋_GB2312"/>
          <w:b w:val="0"/>
          <w:bCs w:val="0"/>
          <w:sz w:val="24"/>
          <w:szCs w:val="28"/>
          <w:lang w:val="en-US" w:eastAsia="zh-CN"/>
        </w:rPr>
        <w:t>】（展示部分项目）</w:t>
      </w:r>
      <w:r>
        <w:rPr>
          <w:rFonts w:hint="eastAsia" w:ascii="仿宋_GB2312" w:hAnsi="仿宋_GB2312" w:eastAsia="仿宋_GB2312" w:cs="仿宋_GB2312"/>
          <w:b w:val="0"/>
          <w:bCs w:val="0"/>
          <w:sz w:val="24"/>
          <w:szCs w:val="28"/>
        </w:rPr>
        <w:t>，点击【</w:t>
      </w:r>
      <w:r>
        <w:rPr>
          <w:rFonts w:hint="eastAsia" w:ascii="仿宋_GB2312" w:hAnsi="仿宋_GB2312" w:eastAsia="仿宋_GB2312" w:cs="仿宋_GB2312"/>
          <w:b w:val="0"/>
          <w:bCs w:val="0"/>
          <w:color w:val="0000FF"/>
          <w:sz w:val="24"/>
          <w:szCs w:val="28"/>
        </w:rPr>
        <w:t>更多</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查看完整公布列表；在【</w:t>
      </w:r>
      <w:r>
        <w:rPr>
          <w:rFonts w:hint="eastAsia" w:ascii="仿宋_GB2312" w:hAnsi="仿宋_GB2312" w:eastAsia="仿宋_GB2312" w:cs="仿宋_GB2312"/>
          <w:b w:val="0"/>
          <w:bCs w:val="0"/>
          <w:color w:val="0000FF"/>
          <w:sz w:val="24"/>
          <w:szCs w:val="28"/>
          <w:lang w:val="en-US" w:eastAsia="zh-CN"/>
        </w:rPr>
        <w:t>竞价专栏</w:t>
      </w:r>
      <w:r>
        <w:rPr>
          <w:rFonts w:hint="eastAsia" w:ascii="仿宋_GB2312" w:hAnsi="仿宋_GB2312" w:eastAsia="仿宋_GB2312" w:cs="仿宋_GB2312"/>
          <w:b w:val="0"/>
          <w:bCs w:val="0"/>
          <w:sz w:val="24"/>
          <w:szCs w:val="28"/>
          <w:lang w:val="en-US" w:eastAsia="zh-CN"/>
        </w:rPr>
        <w:t>】板块中【</w:t>
      </w:r>
      <w:r>
        <w:rPr>
          <w:rFonts w:hint="eastAsia" w:ascii="仿宋_GB2312" w:hAnsi="仿宋_GB2312" w:eastAsia="仿宋_GB2312" w:cs="仿宋_GB2312"/>
          <w:b w:val="0"/>
          <w:bCs w:val="0"/>
          <w:color w:val="0000FF"/>
          <w:sz w:val="24"/>
          <w:szCs w:val="28"/>
          <w:lang w:val="en-US" w:eastAsia="zh-CN"/>
        </w:rPr>
        <w:t>竞价公布</w:t>
      </w:r>
      <w:r>
        <w:rPr>
          <w:rFonts w:hint="eastAsia" w:ascii="仿宋_GB2312" w:hAnsi="仿宋_GB2312" w:eastAsia="仿宋_GB2312" w:cs="仿宋_GB2312"/>
          <w:b w:val="0"/>
          <w:bCs w:val="0"/>
          <w:sz w:val="24"/>
          <w:szCs w:val="28"/>
          <w:lang w:val="en-US" w:eastAsia="zh-CN"/>
        </w:rPr>
        <w:t>】可查看含详细规则的</w:t>
      </w:r>
      <w:r>
        <w:rPr>
          <w:rFonts w:hint="eastAsia" w:ascii="仿宋_GB2312" w:hAnsi="仿宋_GB2312" w:cs="仿宋_GB2312"/>
          <w:b w:val="0"/>
          <w:bCs w:val="0"/>
          <w:sz w:val="24"/>
          <w:szCs w:val="28"/>
          <w:lang w:val="en-US" w:eastAsia="zh-CN"/>
        </w:rPr>
        <w:t>竞价结果公布</w:t>
      </w:r>
      <w:r>
        <w:rPr>
          <w:rFonts w:hint="eastAsia" w:ascii="仿宋_GB2312" w:hAnsi="仿宋_GB2312" w:eastAsia="仿宋_GB2312" w:cs="仿宋_GB2312"/>
          <w:b w:val="0"/>
          <w:bCs w:val="0"/>
          <w:sz w:val="24"/>
          <w:szCs w:val="28"/>
          <w:lang w:val="en-US" w:eastAsia="zh-CN"/>
        </w:rPr>
        <w:t>文章及附件。</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仿宋_GB2312" w:hAnsi="仿宋_GB2312" w:eastAsia="仿宋_GB2312" w:cs="仿宋_GB2312"/>
          <w:lang w:eastAsia="zh-CN"/>
        </w:rPr>
      </w:pPr>
      <w:r>
        <w:drawing>
          <wp:inline distT="0" distB="0" distL="114300" distR="114300">
            <wp:extent cx="5267960" cy="972185"/>
            <wp:effectExtent l="9525" t="9525" r="18415" b="2159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7"/>
                    <a:stretch>
                      <a:fillRect/>
                    </a:stretch>
                  </pic:blipFill>
                  <pic:spPr>
                    <a:xfrm>
                      <a:off x="0" y="0"/>
                      <a:ext cx="5267960" cy="972185"/>
                    </a:xfrm>
                    <a:prstGeom prst="rect">
                      <a:avLst/>
                    </a:prstGeom>
                    <a:noFill/>
                    <a:ln w="6350">
                      <a:solidFill>
                        <a:schemeClr val="bg1">
                          <a:lumMod val="8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b w:val="0"/>
          <w:bCs w:val="0"/>
          <w:sz w:val="24"/>
          <w:szCs w:val="28"/>
          <w:highlight w:val="yellow"/>
          <w:lang w:val="en-US" w:eastAsia="zh-CN"/>
        </w:rPr>
      </w:pPr>
      <w:r>
        <w:rPr>
          <w:rFonts w:hint="eastAsia" w:ascii="仿宋_GB2312" w:hAnsi="仿宋_GB2312" w:eastAsia="仿宋_GB2312" w:cs="仿宋_GB2312"/>
          <w:b w:val="0"/>
          <w:bCs w:val="0"/>
          <w:sz w:val="24"/>
          <w:szCs w:val="28"/>
          <w:lang w:val="en-US" w:eastAsia="zh-CN"/>
        </w:rPr>
        <w:t>2）筛选查询：支持根据受理电力公司、项目名称等进行精确查找。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rPr>
        <w:drawing>
          <wp:inline distT="0" distB="0" distL="114300" distR="114300">
            <wp:extent cx="5274310" cy="1770380"/>
            <wp:effectExtent l="9525" t="9525" r="12065" b="10795"/>
            <wp:docPr id="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3"/>
                    <pic:cNvPicPr>
                      <a:picLocks noChangeAspect="1"/>
                    </pic:cNvPicPr>
                  </pic:nvPicPr>
                  <pic:blipFill>
                    <a:blip r:embed="rId38"/>
                    <a:srcRect b="6001"/>
                    <a:stretch>
                      <a:fillRect/>
                    </a:stretch>
                  </pic:blipFill>
                  <pic:spPr>
                    <a:xfrm>
                      <a:off x="0" y="0"/>
                      <a:ext cx="5274310" cy="1770380"/>
                    </a:xfrm>
                    <a:prstGeom prst="rect">
                      <a:avLst/>
                    </a:prstGeom>
                    <a:noFill/>
                    <a:ln w="6350">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差价协议签订</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外网</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机制电价竞价专区 -</w:t>
      </w:r>
      <w:r>
        <w:rPr>
          <w:rFonts w:hint="eastAsia" w:ascii="仿宋_GB2312" w:hAnsi="仿宋_GB2312" w:eastAsia="仿宋_GB2312" w:cs="仿宋_GB2312"/>
          <w:b w:val="0"/>
          <w:bCs w:val="0"/>
          <w:sz w:val="24"/>
          <w:szCs w:val="28"/>
          <w:lang w:val="en-US" w:eastAsia="zh-CN"/>
        </w:rPr>
        <w:t xml:space="preserve"> 差价协议签订</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竞价结果公布后，纳入机制项目</w:t>
      </w:r>
      <w:r>
        <w:rPr>
          <w:rFonts w:hint="eastAsia" w:ascii="仿宋_GB2312" w:hAnsi="仿宋_GB2312" w:cs="仿宋_GB2312"/>
          <w:b w:val="0"/>
          <w:bCs w:val="0"/>
          <w:sz w:val="24"/>
          <w:szCs w:val="28"/>
          <w:lang w:val="en-US" w:eastAsia="zh-CN"/>
        </w:rPr>
        <w:t>所属</w:t>
      </w:r>
      <w:r>
        <w:rPr>
          <w:rFonts w:hint="eastAsia" w:ascii="仿宋_GB2312" w:hAnsi="仿宋_GB2312" w:eastAsia="仿宋_GB2312" w:cs="仿宋_GB2312"/>
          <w:b w:val="0"/>
          <w:bCs w:val="0"/>
          <w:sz w:val="24"/>
          <w:szCs w:val="28"/>
          <w:lang w:val="en-US" w:eastAsia="zh-CN"/>
        </w:rPr>
        <w:t>发电企业</w:t>
      </w:r>
      <w:r>
        <w:rPr>
          <w:rFonts w:hint="eastAsia" w:ascii="仿宋_GB2312" w:hAnsi="仿宋_GB2312" w:cs="仿宋_GB2312"/>
          <w:b w:val="0"/>
          <w:bCs w:val="0"/>
          <w:sz w:val="24"/>
          <w:szCs w:val="28"/>
          <w:lang w:val="en-US" w:eastAsia="zh-CN"/>
        </w:rPr>
        <w:t>应根据各省要求</w:t>
      </w:r>
      <w:r>
        <w:rPr>
          <w:rFonts w:hint="eastAsia" w:ascii="仿宋_GB2312" w:hAnsi="仿宋_GB2312" w:eastAsia="仿宋_GB2312" w:cs="仿宋_GB2312"/>
          <w:b w:val="0"/>
          <w:bCs w:val="0"/>
          <w:sz w:val="24"/>
          <w:szCs w:val="28"/>
          <w:lang w:val="en-US" w:eastAsia="zh-CN"/>
        </w:rPr>
        <w:t>签署差价协议。差价协议签订实现了在线填报差价协议内容，系统中已有的部分字段会自动带出，竞价主体主要填写乙方基本信息。甲乙双方应就差价协议的量价等信息在线下达成一致，甲方在审核通过并填报差价协议剩余其他信息后将直接提交至经法系统进行审核。</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rPr>
        <w:t>选择差价协议签订板块，点击【</w:t>
      </w:r>
      <w:r>
        <w:rPr>
          <w:rFonts w:hint="eastAsia" w:ascii="仿宋_GB2312" w:hAnsi="仿宋_GB2312" w:eastAsia="仿宋_GB2312" w:cs="仿宋_GB2312"/>
          <w:b w:val="0"/>
          <w:bCs w:val="0"/>
          <w:color w:val="0000FF"/>
          <w:sz w:val="24"/>
          <w:szCs w:val="28"/>
        </w:rPr>
        <w:t>了解更多</w:t>
      </w:r>
      <w:r>
        <w:rPr>
          <w:rFonts w:hint="eastAsia" w:ascii="仿宋_GB2312" w:hAnsi="仿宋_GB2312" w:eastAsia="仿宋_GB2312" w:cs="仿宋_GB2312"/>
          <w:b w:val="0"/>
          <w:bCs w:val="0"/>
          <w:sz w:val="24"/>
          <w:szCs w:val="28"/>
        </w:rPr>
        <w:t>】，进入差价协议签订页面。</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4"/>
          <w:szCs w:val="28"/>
        </w:rPr>
      </w:pPr>
      <w:r>
        <w:drawing>
          <wp:inline distT="0" distB="0" distL="114300" distR="114300">
            <wp:extent cx="5265420" cy="2303145"/>
            <wp:effectExtent l="9525" t="9525" r="20955" b="1143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9"/>
                    <a:stretch>
                      <a:fillRect/>
                    </a:stretch>
                  </pic:blipFill>
                  <pic:spPr>
                    <a:xfrm>
                      <a:off x="0" y="0"/>
                      <a:ext cx="5265420" cy="2303145"/>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差价协议签订的页面分</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color w:val="0000FF"/>
          <w:sz w:val="24"/>
          <w:szCs w:val="28"/>
          <w:lang w:val="en-US" w:eastAsia="zh-CN"/>
        </w:rPr>
        <w:t>增量项目</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和</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color w:val="0000FF"/>
          <w:sz w:val="24"/>
          <w:szCs w:val="28"/>
          <w:lang w:val="en-US" w:eastAsia="zh-CN"/>
        </w:rPr>
        <w:t>存量项目</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两个页签。增量项目页签自动展示竞价结果公布的项目，存量项目则来自内网项目库，需经电网公司初审后推送至电源企业进行确认及协议签订。项目状态为</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color w:val="0000FF"/>
          <w:sz w:val="24"/>
          <w:szCs w:val="28"/>
          <w:lang w:val="en-US" w:eastAsia="zh-CN"/>
        </w:rPr>
        <w:t>待申请</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和</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color w:val="0000FF"/>
          <w:sz w:val="24"/>
          <w:szCs w:val="28"/>
          <w:lang w:val="en-US" w:eastAsia="zh-CN"/>
        </w:rPr>
        <w:t>受理驳回</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的</w:t>
      </w:r>
      <w:r>
        <w:rPr>
          <w:rFonts w:hint="eastAsia" w:ascii="仿宋_GB2312" w:hAnsi="仿宋_GB2312" w:cs="仿宋_GB2312"/>
          <w:b w:val="0"/>
          <w:bCs w:val="0"/>
          <w:sz w:val="24"/>
          <w:szCs w:val="28"/>
          <w:lang w:val="en-US" w:eastAsia="zh-CN"/>
        </w:rPr>
        <w:t>项目</w:t>
      </w:r>
      <w:r>
        <w:rPr>
          <w:rFonts w:hint="eastAsia" w:ascii="仿宋_GB2312" w:hAnsi="仿宋_GB2312" w:eastAsia="仿宋_GB2312" w:cs="仿宋_GB2312"/>
          <w:b w:val="0"/>
          <w:bCs w:val="0"/>
          <w:sz w:val="24"/>
          <w:szCs w:val="28"/>
          <w:lang w:val="en-US" w:eastAsia="zh-CN"/>
        </w:rPr>
        <w:t>可以在线填报</w:t>
      </w:r>
      <w:r>
        <w:rPr>
          <w:rFonts w:hint="eastAsia" w:ascii="仿宋_GB2312" w:hAnsi="仿宋_GB2312" w:cs="仿宋_GB2312"/>
          <w:b w:val="0"/>
          <w:bCs w:val="0"/>
          <w:sz w:val="24"/>
          <w:szCs w:val="28"/>
          <w:lang w:val="en-US" w:eastAsia="zh-CN"/>
        </w:rPr>
        <w:t>或</w:t>
      </w:r>
      <w:r>
        <w:rPr>
          <w:rFonts w:hint="eastAsia" w:ascii="仿宋_GB2312" w:hAnsi="仿宋_GB2312" w:eastAsia="仿宋_GB2312" w:cs="仿宋_GB2312"/>
          <w:b w:val="0"/>
          <w:bCs w:val="0"/>
          <w:sz w:val="24"/>
          <w:szCs w:val="28"/>
          <w:lang w:val="en-US" w:eastAsia="zh-CN"/>
        </w:rPr>
        <w:t>修改差价协议内容，项目状态为</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color w:val="0000FF"/>
          <w:sz w:val="24"/>
          <w:szCs w:val="28"/>
          <w:lang w:val="en-US" w:eastAsia="zh-CN"/>
        </w:rPr>
        <w:t>申报主体签章中</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的</w:t>
      </w:r>
      <w:r>
        <w:rPr>
          <w:rFonts w:hint="eastAsia" w:ascii="仿宋_GB2312" w:hAnsi="仿宋_GB2312" w:cs="仿宋_GB2312"/>
          <w:b w:val="0"/>
          <w:bCs w:val="0"/>
          <w:sz w:val="24"/>
          <w:szCs w:val="28"/>
          <w:lang w:val="en-US" w:eastAsia="zh-CN"/>
        </w:rPr>
        <w:t>项目需完成</w:t>
      </w:r>
      <w:r>
        <w:rPr>
          <w:rFonts w:hint="eastAsia" w:ascii="仿宋_GB2312" w:hAnsi="仿宋_GB2312" w:eastAsia="仿宋_GB2312" w:cs="仿宋_GB2312"/>
          <w:b w:val="0"/>
          <w:bCs w:val="0"/>
          <w:sz w:val="24"/>
          <w:szCs w:val="28"/>
          <w:lang w:val="en-US" w:eastAsia="zh-CN"/>
        </w:rPr>
        <w:t>差价协议签章</w:t>
      </w:r>
      <w:r>
        <w:rPr>
          <w:rFonts w:hint="eastAsia" w:ascii="仿宋_GB2312" w:hAnsi="仿宋_GB2312" w:cs="仿宋_GB2312"/>
          <w:b w:val="0"/>
          <w:bCs w:val="0"/>
          <w:sz w:val="24"/>
          <w:szCs w:val="28"/>
          <w:lang w:val="en-US" w:eastAsia="zh-CN"/>
        </w:rPr>
        <w:t>。</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560" w:lineRule="exact"/>
        <w:ind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cs="仿宋_GB2312"/>
          <w:b w:val="0"/>
          <w:bCs w:val="0"/>
          <w:color w:val="0000FF"/>
          <w:sz w:val="24"/>
          <w:szCs w:val="28"/>
          <w:lang w:val="en-US" w:eastAsia="zh-CN"/>
        </w:rPr>
        <w:t>重要提示</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存量项目</w:t>
      </w:r>
      <w:r>
        <w:rPr>
          <w:rFonts w:hint="eastAsia" w:ascii="仿宋_GB2312" w:hAnsi="仿宋_GB2312" w:cs="仿宋_GB2312"/>
          <w:b w:val="0"/>
          <w:bCs w:val="0"/>
          <w:sz w:val="24"/>
          <w:szCs w:val="28"/>
          <w:lang w:val="en-US" w:eastAsia="zh-CN"/>
        </w:rPr>
        <w:t>须先完成【</w:t>
      </w:r>
      <w:r>
        <w:rPr>
          <w:rFonts w:hint="eastAsia" w:ascii="仿宋_GB2312" w:hAnsi="仿宋_GB2312" w:cs="仿宋_GB2312"/>
          <w:b w:val="0"/>
          <w:bCs w:val="0"/>
          <w:color w:val="0000FF"/>
          <w:sz w:val="24"/>
          <w:szCs w:val="28"/>
          <w:lang w:val="en-US" w:eastAsia="zh-CN"/>
        </w:rPr>
        <w:t>存量项目认定</w:t>
      </w:r>
      <w:r>
        <w:rPr>
          <w:rFonts w:hint="eastAsia" w:ascii="仿宋_GB2312" w:hAnsi="仿宋_GB2312" w:cs="仿宋_GB2312"/>
          <w:b w:val="0"/>
          <w:bCs w:val="0"/>
          <w:sz w:val="24"/>
          <w:szCs w:val="28"/>
          <w:lang w:val="en-US" w:eastAsia="zh-CN"/>
        </w:rPr>
        <w:t>】（该功能后续开放），认定通过后，方可按照各省具体规则进行协议签订等后续业务</w:t>
      </w:r>
      <w:r>
        <w:rPr>
          <w:rFonts w:hint="eastAsia" w:ascii="仿宋_GB2312" w:hAnsi="仿宋_GB2312" w:eastAsia="仿宋_GB2312" w:cs="仿宋_GB2312"/>
          <w:b w:val="0"/>
          <w:bCs w:val="0"/>
          <w:sz w:val="24"/>
          <w:szCs w:val="28"/>
          <w:lang w:val="en-US" w:eastAsia="zh-CN"/>
        </w:rPr>
        <w:t>。</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4"/>
          <w:szCs w:val="28"/>
          <w:lang w:val="en-US" w:eastAsia="zh-CN"/>
        </w:rPr>
      </w:pPr>
      <w:r>
        <w:drawing>
          <wp:inline distT="0" distB="0" distL="114300" distR="114300">
            <wp:extent cx="5272405" cy="2016125"/>
            <wp:effectExtent l="9525" t="9525" r="13970" b="190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0"/>
                    <a:stretch>
                      <a:fillRect/>
                    </a:stretch>
                  </pic:blipFill>
                  <pic:spPr>
                    <a:xfrm>
                      <a:off x="0" y="0"/>
                      <a:ext cx="5272405" cy="2016125"/>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cs="仿宋_GB2312"/>
          <w:b w:val="0"/>
          <w:bCs w:val="0"/>
          <w:sz w:val="24"/>
          <w:szCs w:val="28"/>
          <w:lang w:val="en-US" w:eastAsia="zh-CN"/>
        </w:rPr>
        <w:t>申请办理：用户</w:t>
      </w:r>
      <w:r>
        <w:rPr>
          <w:rFonts w:hint="eastAsia" w:ascii="仿宋_GB2312" w:hAnsi="仿宋_GB2312" w:eastAsia="仿宋_GB2312" w:cs="仿宋_GB2312"/>
          <w:b w:val="0"/>
          <w:bCs w:val="0"/>
          <w:sz w:val="24"/>
          <w:szCs w:val="28"/>
          <w:lang w:val="en-US" w:eastAsia="zh-CN"/>
        </w:rPr>
        <w:t>点击【</w:t>
      </w:r>
      <w:r>
        <w:rPr>
          <w:rFonts w:hint="eastAsia" w:ascii="仿宋_GB2312" w:hAnsi="仿宋_GB2312" w:eastAsia="仿宋_GB2312" w:cs="仿宋_GB2312"/>
          <w:b w:val="0"/>
          <w:bCs w:val="0"/>
          <w:color w:val="0000FF"/>
          <w:sz w:val="24"/>
          <w:szCs w:val="28"/>
          <w:lang w:val="en-US" w:eastAsia="zh-CN"/>
        </w:rPr>
        <w:t>办理</w:t>
      </w:r>
      <w:r>
        <w:rPr>
          <w:rFonts w:hint="eastAsia" w:ascii="仿宋_GB2312" w:hAnsi="仿宋_GB2312" w:eastAsia="仿宋_GB2312" w:cs="仿宋_GB2312"/>
          <w:b w:val="0"/>
          <w:bCs w:val="0"/>
          <w:sz w:val="24"/>
          <w:szCs w:val="28"/>
          <w:lang w:val="en-US" w:eastAsia="zh-CN"/>
        </w:rPr>
        <w:t>】按钮进入差价协议申请页面，该页面包含三部分内容：项目基本信息展示区、乙方MDM系统注册信息区，以及差价协议在线填报区。</w:t>
      </w:r>
      <w:r>
        <w:rPr>
          <w:rFonts w:hint="eastAsia" w:ascii="仿宋_GB2312" w:hAnsi="仿宋_GB2312" w:cs="仿宋_GB2312"/>
          <w:b w:val="0"/>
          <w:bCs w:val="0"/>
          <w:sz w:val="24"/>
          <w:szCs w:val="28"/>
          <w:lang w:val="en-US" w:eastAsia="zh-CN"/>
        </w:rPr>
        <w:t>用户</w:t>
      </w:r>
      <w:r>
        <w:rPr>
          <w:rFonts w:hint="eastAsia" w:ascii="仿宋_GB2312" w:hAnsi="仿宋_GB2312" w:eastAsia="仿宋_GB2312" w:cs="仿宋_GB2312"/>
          <w:b w:val="0"/>
          <w:bCs w:val="0"/>
          <w:sz w:val="24"/>
          <w:szCs w:val="28"/>
          <w:lang w:val="en-US" w:eastAsia="zh-CN"/>
        </w:rPr>
        <w:t>需在此页面完成基础信息核对和协议内容填报工作。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乙方信息维护</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在乙方信息</w:t>
      </w:r>
      <w:r>
        <w:rPr>
          <w:rFonts w:hint="eastAsia" w:ascii="仿宋_GB2312" w:hAnsi="仿宋_GB2312" w:cs="仿宋_GB2312"/>
          <w:b w:val="0"/>
          <w:bCs w:val="0"/>
          <w:sz w:val="24"/>
          <w:szCs w:val="28"/>
          <w:lang w:val="en-US" w:eastAsia="zh-CN"/>
        </w:rPr>
        <w:t>栏</w:t>
      </w:r>
      <w:r>
        <w:rPr>
          <w:rFonts w:hint="eastAsia" w:ascii="仿宋_GB2312" w:hAnsi="仿宋_GB2312" w:eastAsia="仿宋_GB2312" w:cs="仿宋_GB2312"/>
          <w:b w:val="0"/>
          <w:bCs w:val="0"/>
          <w:sz w:val="24"/>
          <w:szCs w:val="28"/>
          <w:lang w:val="en-US" w:eastAsia="zh-CN"/>
        </w:rPr>
        <w:t>点击【</w:t>
      </w:r>
      <w:r>
        <w:rPr>
          <w:rFonts w:hint="eastAsia" w:ascii="仿宋_GB2312" w:hAnsi="仿宋_GB2312" w:eastAsia="仿宋_GB2312" w:cs="仿宋_GB2312"/>
          <w:b w:val="0"/>
          <w:bCs w:val="0"/>
          <w:color w:val="0000FF"/>
          <w:sz w:val="24"/>
          <w:szCs w:val="28"/>
        </w:rPr>
        <w:t>选择</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系统将弹出供应商选择窗口</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用户</w:t>
      </w:r>
      <w:r>
        <w:rPr>
          <w:rFonts w:hint="eastAsia" w:ascii="仿宋_GB2312" w:hAnsi="仿宋_GB2312" w:eastAsia="仿宋_GB2312" w:cs="仿宋_GB2312"/>
          <w:b w:val="0"/>
          <w:bCs w:val="0"/>
          <w:sz w:val="24"/>
          <w:szCs w:val="28"/>
          <w:lang w:val="en-US" w:eastAsia="zh-CN"/>
        </w:rPr>
        <w:t>需准确选择本项目的对应供应商并点击【</w:t>
      </w:r>
      <w:r>
        <w:rPr>
          <w:rFonts w:hint="eastAsia" w:ascii="仿宋_GB2312" w:hAnsi="仿宋_GB2312" w:eastAsia="仿宋_GB2312" w:cs="仿宋_GB2312"/>
          <w:b w:val="0"/>
          <w:bCs w:val="0"/>
          <w:color w:val="0000FF"/>
          <w:sz w:val="24"/>
          <w:szCs w:val="28"/>
          <w:lang w:val="en-US" w:eastAsia="zh-CN"/>
        </w:rPr>
        <w:t>确认</w:t>
      </w:r>
      <w:r>
        <w:rPr>
          <w:rFonts w:hint="eastAsia" w:ascii="仿宋_GB2312" w:hAnsi="仿宋_GB2312" w:eastAsia="仿宋_GB2312" w:cs="仿宋_GB2312"/>
          <w:b w:val="0"/>
          <w:bCs w:val="0"/>
          <w:sz w:val="24"/>
          <w:szCs w:val="28"/>
          <w:lang w:val="en-US" w:eastAsia="zh-CN"/>
        </w:rPr>
        <w:t>】，系统将自动关联带出该供应商的银行账号、开户行等注册信息。若</w:t>
      </w:r>
      <w:r>
        <w:rPr>
          <w:rFonts w:hint="eastAsia" w:ascii="仿宋_GB2312" w:hAnsi="仿宋_GB2312" w:cs="仿宋_GB2312"/>
          <w:b w:val="0"/>
          <w:bCs w:val="0"/>
          <w:sz w:val="24"/>
          <w:szCs w:val="28"/>
          <w:lang w:val="en-US" w:eastAsia="zh-CN"/>
        </w:rPr>
        <w:t>未查询到对应</w:t>
      </w:r>
      <w:r>
        <w:rPr>
          <w:rFonts w:hint="eastAsia" w:ascii="仿宋_GB2312" w:hAnsi="仿宋_GB2312" w:eastAsia="仿宋_GB2312" w:cs="仿宋_GB2312"/>
          <w:b w:val="0"/>
          <w:bCs w:val="0"/>
          <w:sz w:val="24"/>
          <w:szCs w:val="28"/>
          <w:lang w:val="en-US" w:eastAsia="zh-CN"/>
        </w:rPr>
        <w:t>供应商名称，</w:t>
      </w:r>
      <w:r>
        <w:rPr>
          <w:rFonts w:hint="eastAsia" w:ascii="仿宋_GB2312" w:hAnsi="仿宋_GB2312" w:cs="仿宋_GB2312"/>
          <w:b w:val="0"/>
          <w:bCs w:val="0"/>
          <w:sz w:val="24"/>
          <w:szCs w:val="28"/>
          <w:lang w:val="en-US" w:eastAsia="zh-CN"/>
        </w:rPr>
        <w:t>需先前往</w:t>
      </w:r>
      <w:r>
        <w:rPr>
          <w:rFonts w:hint="eastAsia" w:ascii="仿宋_GB2312" w:hAnsi="仿宋_GB2312" w:eastAsia="仿宋_GB2312" w:cs="仿宋_GB2312"/>
          <w:b w:val="0"/>
          <w:bCs w:val="0"/>
          <w:sz w:val="24"/>
          <w:szCs w:val="28"/>
          <w:lang w:val="en-US" w:eastAsia="zh-CN"/>
        </w:rPr>
        <w:t>MDM系统</w:t>
      </w:r>
      <w:r>
        <w:rPr>
          <w:rFonts w:hint="eastAsia" w:ascii="仿宋_GB2312" w:hAnsi="仿宋_GB2312" w:cs="仿宋_GB2312"/>
          <w:b w:val="0"/>
          <w:bCs w:val="0"/>
          <w:sz w:val="24"/>
          <w:szCs w:val="28"/>
          <w:lang w:val="en-US" w:eastAsia="zh-CN"/>
        </w:rPr>
        <w:t>完成供应商注册后方可继续操作</w:t>
      </w:r>
      <w:r>
        <w:rPr>
          <w:rFonts w:hint="eastAsia" w:ascii="仿宋_GB2312" w:hAnsi="仿宋_GB2312" w:eastAsia="仿宋_GB2312" w:cs="仿宋_GB2312"/>
          <w:b w:val="0"/>
          <w:bCs w:val="0"/>
          <w:sz w:val="24"/>
          <w:szCs w:val="28"/>
          <w:lang w:val="en-US" w:eastAsia="zh-CN"/>
        </w:rPr>
        <w:t>。</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cs="仿宋_GB2312"/>
          <w:b w:val="0"/>
          <w:bCs w:val="0"/>
          <w:sz w:val="24"/>
          <w:szCs w:val="28"/>
          <w:lang w:val="en-US" w:eastAsia="zh-CN"/>
        </w:rPr>
        <w:t>差价协议签署：</w:t>
      </w:r>
      <w:r>
        <w:rPr>
          <w:rFonts w:hint="eastAsia" w:ascii="仿宋_GB2312" w:hAnsi="仿宋_GB2312" w:eastAsia="仿宋_GB2312" w:cs="仿宋_GB2312"/>
          <w:b w:val="0"/>
          <w:bCs w:val="0"/>
          <w:sz w:val="24"/>
          <w:szCs w:val="28"/>
          <w:lang w:val="en-US" w:eastAsia="zh-CN"/>
        </w:rPr>
        <w:t>点击【</w:t>
      </w:r>
      <w:r>
        <w:rPr>
          <w:rFonts w:hint="eastAsia" w:ascii="仿宋_GB2312" w:hAnsi="仿宋_GB2312" w:eastAsia="仿宋_GB2312" w:cs="仿宋_GB2312"/>
          <w:b w:val="0"/>
          <w:bCs w:val="0"/>
          <w:color w:val="0000FF"/>
          <w:sz w:val="24"/>
          <w:szCs w:val="28"/>
        </w:rPr>
        <w:t>查看/编辑协议</w:t>
      </w:r>
      <w:r>
        <w:rPr>
          <w:rFonts w:hint="eastAsia" w:ascii="仿宋_GB2312" w:hAnsi="仿宋_GB2312" w:eastAsia="仿宋_GB2312" w:cs="仿宋_GB2312"/>
          <w:b w:val="0"/>
          <w:bCs w:val="0"/>
          <w:sz w:val="24"/>
          <w:szCs w:val="28"/>
          <w:lang w:val="en-US" w:eastAsia="zh-CN"/>
        </w:rPr>
        <w:t>】进入在线编辑页面。</w:t>
      </w:r>
      <w:r>
        <w:rPr>
          <w:rFonts w:hint="eastAsia" w:ascii="仿宋_GB2312" w:hAnsi="仿宋_GB2312" w:cs="仿宋_GB2312"/>
          <w:b w:val="0"/>
          <w:bCs w:val="0"/>
          <w:sz w:val="24"/>
          <w:szCs w:val="28"/>
          <w:lang w:val="en-US" w:eastAsia="zh-CN"/>
        </w:rPr>
        <w:t>用户</w:t>
      </w:r>
      <w:r>
        <w:rPr>
          <w:rFonts w:hint="eastAsia" w:ascii="仿宋_GB2312" w:hAnsi="仿宋_GB2312" w:eastAsia="仿宋_GB2312" w:cs="仿宋_GB2312"/>
          <w:b w:val="0"/>
          <w:bCs w:val="0"/>
          <w:sz w:val="24"/>
          <w:szCs w:val="28"/>
          <w:lang w:val="en-US" w:eastAsia="zh-CN"/>
        </w:rPr>
        <w:t>可对乙方信息板块内容进行修改完善。确认所有信息填写无误后，点击【</w:t>
      </w:r>
      <w:r>
        <w:rPr>
          <w:rFonts w:hint="eastAsia" w:ascii="仿宋_GB2312" w:hAnsi="仿宋_GB2312" w:eastAsia="仿宋_GB2312" w:cs="仿宋_GB2312"/>
          <w:b w:val="0"/>
          <w:bCs w:val="0"/>
          <w:color w:val="0000FF"/>
          <w:sz w:val="24"/>
          <w:szCs w:val="28"/>
          <w:lang w:val="en-US" w:eastAsia="zh-CN"/>
        </w:rPr>
        <w:t>提交</w:t>
      </w:r>
      <w:r>
        <w:rPr>
          <w:rFonts w:hint="eastAsia" w:ascii="仿宋_GB2312" w:hAnsi="仿宋_GB2312" w:eastAsia="仿宋_GB2312" w:cs="仿宋_GB2312"/>
          <w:b w:val="0"/>
          <w:bCs w:val="0"/>
          <w:sz w:val="24"/>
          <w:szCs w:val="28"/>
          <w:lang w:val="en-US" w:eastAsia="zh-CN"/>
        </w:rPr>
        <w:t>】按钮，系统将自动将协议数据推送至电网公司审核流程，进入正式签署环节。</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cs="仿宋_GB2312"/>
          <w:b w:val="0"/>
          <w:bCs w:val="0"/>
          <w:sz w:val="24"/>
          <w:szCs w:val="28"/>
          <w:lang w:val="en-US" w:eastAsia="zh-CN"/>
        </w:rPr>
        <w:t>发电企业</w:t>
      </w:r>
      <w:r>
        <w:rPr>
          <w:rFonts w:hint="eastAsia" w:ascii="仿宋_GB2312" w:hAnsi="仿宋_GB2312" w:eastAsia="仿宋_GB2312" w:cs="仿宋_GB2312"/>
          <w:b w:val="0"/>
          <w:bCs w:val="0"/>
          <w:sz w:val="24"/>
          <w:szCs w:val="28"/>
          <w:lang w:val="en-US" w:eastAsia="zh-CN"/>
        </w:rPr>
        <w:t>签章。</w:t>
      </w:r>
      <w:r>
        <w:rPr>
          <w:rFonts w:hint="eastAsia" w:ascii="仿宋_GB2312" w:hAnsi="仿宋_GB2312" w:cs="仿宋_GB2312"/>
          <w:b w:val="0"/>
          <w:bCs w:val="0"/>
          <w:sz w:val="24"/>
          <w:szCs w:val="28"/>
          <w:lang w:val="en-US" w:eastAsia="zh-CN"/>
        </w:rPr>
        <w:t>对于状态显示为【</w:t>
      </w:r>
      <w:r>
        <w:rPr>
          <w:rFonts w:hint="eastAsia" w:ascii="仿宋_GB2312" w:hAnsi="仿宋_GB2312" w:eastAsia="仿宋_GB2312" w:cs="仿宋_GB2312"/>
          <w:b w:val="0"/>
          <w:bCs w:val="0"/>
          <w:color w:val="0000FF"/>
          <w:sz w:val="24"/>
          <w:szCs w:val="28"/>
          <w:lang w:val="en-US" w:eastAsia="zh-CN"/>
        </w:rPr>
        <w:t>申报主体签章中</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的</w:t>
      </w:r>
      <w:r>
        <w:rPr>
          <w:rFonts w:hint="eastAsia" w:ascii="仿宋_GB2312" w:hAnsi="仿宋_GB2312" w:cs="仿宋_GB2312"/>
          <w:b w:val="0"/>
          <w:bCs w:val="0"/>
          <w:sz w:val="24"/>
          <w:szCs w:val="28"/>
          <w:lang w:val="en-US" w:eastAsia="zh-CN"/>
        </w:rPr>
        <w:t>项目，用户需点击【</w:t>
      </w:r>
      <w:r>
        <w:rPr>
          <w:rFonts w:hint="eastAsia" w:ascii="仿宋_GB2312" w:hAnsi="仿宋_GB2312" w:cs="仿宋_GB2312"/>
          <w:b w:val="0"/>
          <w:bCs w:val="0"/>
          <w:color w:val="0000FF"/>
          <w:sz w:val="24"/>
          <w:szCs w:val="28"/>
          <w:lang w:val="en-US" w:eastAsia="zh-CN"/>
        </w:rPr>
        <w:t>办理</w:t>
      </w:r>
      <w:r>
        <w:rPr>
          <w:rFonts w:hint="eastAsia" w:ascii="仿宋_GB2312" w:hAnsi="仿宋_GB2312" w:cs="仿宋_GB2312"/>
          <w:b w:val="0"/>
          <w:bCs w:val="0"/>
          <w:sz w:val="24"/>
          <w:szCs w:val="28"/>
          <w:lang w:val="en-US" w:eastAsia="zh-CN"/>
        </w:rPr>
        <w:t>】进入签章流程。签章页面完整展示协议文本、电网公司联系人及联系方式等关键信息，支持协议文件下载功能。最终用户需上传经甲乙双方实体盖章的协议扫描件，完成整个签章流程。</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4"/>
          <w:szCs w:val="28"/>
          <w:lang w:val="en-US" w:eastAsia="zh-CN"/>
        </w:rPr>
      </w:pPr>
      <w:r>
        <w:drawing>
          <wp:inline distT="0" distB="0" distL="114300" distR="114300">
            <wp:extent cx="5267960" cy="4255770"/>
            <wp:effectExtent l="9525" t="9525" r="18415" b="146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1"/>
                    <a:stretch>
                      <a:fillRect/>
                    </a:stretch>
                  </pic:blipFill>
                  <pic:spPr>
                    <a:xfrm>
                      <a:off x="0" y="0"/>
                      <a:ext cx="5267960" cy="425577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spacing w:line="560" w:lineRule="exact"/>
        <w:ind w:left="0" w:leftChars="0" w:firstLine="480" w:firstLineChars="200"/>
        <w:textAlignment w:val="auto"/>
      </w:pPr>
      <w:r>
        <w:rPr>
          <w:rFonts w:hint="eastAsia" w:ascii="仿宋_GB2312" w:hAnsi="仿宋_GB2312" w:eastAsia="仿宋_GB2312" w:cs="仿宋_GB2312"/>
          <w:b w:val="0"/>
          <w:bCs w:val="0"/>
          <w:sz w:val="24"/>
          <w:szCs w:val="28"/>
          <w:lang w:val="en-US" w:eastAsia="zh-CN"/>
        </w:rPr>
        <w:t>详情</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点击【</w:t>
      </w:r>
      <w:r>
        <w:rPr>
          <w:rFonts w:hint="eastAsia" w:ascii="仿宋_GB2312" w:hAnsi="仿宋_GB2312" w:eastAsia="仿宋_GB2312" w:cs="仿宋_GB2312"/>
          <w:b w:val="0"/>
          <w:bCs w:val="0"/>
          <w:color w:val="0000FF"/>
          <w:sz w:val="24"/>
          <w:szCs w:val="28"/>
          <w:lang w:val="en-US" w:eastAsia="zh-CN"/>
        </w:rPr>
        <w:t>详情</w:t>
      </w:r>
      <w:r>
        <w:rPr>
          <w:rFonts w:hint="eastAsia" w:ascii="仿宋_GB2312" w:hAnsi="仿宋_GB2312" w:eastAsia="仿宋_GB2312" w:cs="仿宋_GB2312"/>
          <w:b w:val="0"/>
          <w:bCs w:val="0"/>
          <w:sz w:val="24"/>
          <w:szCs w:val="28"/>
          <w:lang w:val="en-US" w:eastAsia="zh-CN"/>
        </w:rPr>
        <w:t>】可查看差价协议详情页面以及日志详情页面两个页签。协议详情页面包括差价协议现在的办理环节、协议基本信息以及查看协议文本内容</w:t>
      </w:r>
      <w:r>
        <w:rPr>
          <w:rFonts w:hint="eastAsia" w:ascii="仿宋_GB2312" w:hAnsi="仿宋_GB2312" w:cs="仿宋_GB2312"/>
          <w:b w:val="0"/>
          <w:bCs w:val="0"/>
          <w:sz w:val="24"/>
          <w:szCs w:val="28"/>
          <w:lang w:val="en-US" w:eastAsia="zh-CN"/>
        </w:rPr>
        <w:t>；</w:t>
      </w:r>
      <w:r>
        <w:rPr>
          <w:rFonts w:hint="eastAsia" w:ascii="仿宋_GB2312" w:hAnsi="仿宋_GB2312" w:eastAsia="仿宋_GB2312" w:cs="仿宋_GB2312"/>
          <w:b w:val="0"/>
          <w:bCs w:val="0"/>
          <w:sz w:val="24"/>
          <w:szCs w:val="28"/>
          <w:lang w:val="en-US" w:eastAsia="zh-CN"/>
        </w:rPr>
        <w:t>日志详情页面包括操作时间、意见等操作记录。</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240" w:lineRule="auto"/>
        <w:ind w:leftChars="0"/>
        <w:jc w:val="both"/>
        <w:textAlignment w:val="auto"/>
        <w:rPr>
          <w:rFonts w:hint="eastAsia" w:ascii="仿宋_GB2312" w:hAnsi="仿宋_GB2312" w:eastAsia="仿宋_GB2312" w:cs="仿宋_GB2312"/>
          <w:b w:val="0"/>
          <w:bCs w:val="0"/>
          <w:sz w:val="24"/>
          <w:szCs w:val="28"/>
          <w:lang w:val="en-US" w:eastAsia="zh-CN"/>
        </w:rPr>
      </w:pPr>
      <w:r>
        <w:drawing>
          <wp:inline distT="0" distB="0" distL="114300" distR="114300">
            <wp:extent cx="5267325" cy="3091180"/>
            <wp:effectExtent l="9525" t="9525" r="19050"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2"/>
                    <a:srcRect t="7656" b="4028"/>
                    <a:stretch>
                      <a:fillRect/>
                    </a:stretch>
                  </pic:blipFill>
                  <pic:spPr>
                    <a:xfrm>
                      <a:off x="0" y="0"/>
                      <a:ext cx="5267325" cy="3091180"/>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8"/>
          <w:lang w:val="en-US" w:eastAsia="zh-CN"/>
        </w:rPr>
      </w:pPr>
      <w:r>
        <w:rPr>
          <w:rFonts w:hint="eastAsia" w:ascii="仿宋_GB2312" w:hAnsi="仿宋_GB2312" w:eastAsia="仿宋_GB2312" w:cs="仿宋_GB2312"/>
          <w:b w:val="0"/>
          <w:bCs w:val="0"/>
          <w:sz w:val="24"/>
          <w:szCs w:val="28"/>
          <w:lang w:val="en-US" w:eastAsia="zh-CN"/>
        </w:rPr>
        <w:t>查询。查询条件包括项目名称、差价协议编码、项目状态等字段，根据筛选条件可以进行精确查找。</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4"/>
          <w:szCs w:val="28"/>
          <w:lang w:val="en-US" w:eastAsia="zh-CN"/>
        </w:rPr>
      </w:pPr>
      <w:r>
        <w:drawing>
          <wp:inline distT="0" distB="0" distL="114300" distR="114300">
            <wp:extent cx="5266690" cy="905510"/>
            <wp:effectExtent l="9525" t="9525" r="1968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3"/>
                    <a:stretch>
                      <a:fillRect/>
                    </a:stretch>
                  </pic:blipFill>
                  <pic:spPr>
                    <a:xfrm>
                      <a:off x="0" y="0"/>
                      <a:ext cx="5266690" cy="905510"/>
                    </a:xfrm>
                    <a:prstGeom prst="rect">
                      <a:avLst/>
                    </a:prstGeom>
                    <a:noFill/>
                    <a:ln w="6350">
                      <a:solidFill>
                        <a:schemeClr val="bg1">
                          <a:lumMod val="85000"/>
                        </a:schemeClr>
                      </a:solid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40" w:after="40" w:line="360" w:lineRule="auto"/>
        <w:ind w:left="459" w:hanging="459"/>
        <w:textAlignment w:val="auto"/>
        <w:rPr>
          <w:rFonts w:hint="eastAsia" w:ascii="黑体" w:hAnsi="黑体" w:eastAsia="黑体" w:cs="黑体"/>
          <w:sz w:val="32"/>
          <w:lang w:val="en-US" w:eastAsia="zh-CN"/>
        </w:rPr>
      </w:pPr>
      <w:r>
        <w:rPr>
          <w:rFonts w:hint="eastAsia" w:ascii="黑体" w:hAnsi="黑体" w:eastAsia="黑体" w:cs="黑体"/>
          <w:sz w:val="32"/>
          <w:lang w:val="en-US" w:eastAsia="zh-CN"/>
        </w:rPr>
        <w:t>机制月度分解</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cs="仿宋_GB2312"/>
          <w:b w:val="0"/>
          <w:bCs w:val="0"/>
          <w:sz w:val="24"/>
          <w:szCs w:val="28"/>
          <w:lang w:val="en-US" w:eastAsia="zh-CN"/>
        </w:rPr>
      </w:pPr>
      <w:r>
        <w:rPr>
          <w:rFonts w:hint="eastAsia" w:ascii="仿宋_GB2312" w:hAnsi="仿宋_GB2312" w:eastAsia="仿宋_GB2312" w:cs="仿宋_GB2312"/>
          <w:b/>
          <w:bCs/>
          <w:sz w:val="24"/>
          <w:szCs w:val="28"/>
          <w:lang w:val="en-US" w:eastAsia="zh-CN"/>
        </w:rPr>
        <w:t>操作</w:t>
      </w:r>
      <w:r>
        <w:rPr>
          <w:rFonts w:hint="eastAsia" w:ascii="仿宋_GB2312" w:hAnsi="仿宋_GB2312" w:eastAsia="仿宋_GB2312" w:cs="仿宋_GB2312"/>
          <w:b/>
          <w:bCs/>
          <w:sz w:val="24"/>
          <w:szCs w:val="28"/>
        </w:rPr>
        <w:t>路径</w:t>
      </w:r>
      <w:r>
        <w:rPr>
          <w:rFonts w:hint="eastAsia" w:ascii="仿宋_GB2312" w:hAnsi="仿宋_GB2312" w:eastAsia="仿宋_GB2312" w:cs="仿宋_GB2312"/>
          <w:b w:val="0"/>
          <w:bCs w:val="0"/>
          <w:sz w:val="24"/>
          <w:szCs w:val="28"/>
        </w:rPr>
        <w:t>：</w:t>
      </w:r>
      <w:r>
        <w:rPr>
          <w:rFonts w:hint="eastAsia" w:ascii="仿宋_GB2312" w:hAnsi="仿宋_GB2312" w:eastAsia="仿宋_GB2312" w:cs="仿宋_GB2312"/>
          <w:b w:val="0"/>
          <w:bCs w:val="0"/>
          <w:sz w:val="24"/>
          <w:szCs w:val="28"/>
          <w:lang w:val="en-US" w:eastAsia="zh-CN"/>
        </w:rPr>
        <w:t>外网</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lang w:val="en-US" w:eastAsia="zh-CN"/>
        </w:rPr>
        <w:t>-</w:t>
      </w:r>
      <w:r>
        <w:rPr>
          <w:rFonts w:hint="eastAsia" w:ascii="仿宋_GB2312" w:hAnsi="仿宋_GB2312" w:cs="仿宋_GB2312"/>
          <w:b w:val="0"/>
          <w:bCs w:val="0"/>
          <w:sz w:val="24"/>
          <w:szCs w:val="28"/>
          <w:lang w:val="en-US" w:eastAsia="zh-CN"/>
        </w:rPr>
        <w:t xml:space="preserve"> </w:t>
      </w:r>
      <w:r>
        <w:rPr>
          <w:rFonts w:hint="eastAsia" w:ascii="仿宋_GB2312" w:hAnsi="仿宋_GB2312" w:eastAsia="仿宋_GB2312" w:cs="仿宋_GB2312"/>
          <w:b w:val="0"/>
          <w:bCs w:val="0"/>
          <w:sz w:val="24"/>
          <w:szCs w:val="28"/>
        </w:rPr>
        <w:t>机制电价竞价专区 -</w:t>
      </w:r>
      <w:r>
        <w:rPr>
          <w:rFonts w:hint="eastAsia" w:ascii="仿宋_GB2312" w:hAnsi="仿宋_GB2312" w:eastAsia="仿宋_GB2312" w:cs="仿宋_GB2312"/>
          <w:b w:val="0"/>
          <w:bCs w:val="0"/>
          <w:sz w:val="24"/>
          <w:szCs w:val="28"/>
          <w:lang w:val="en-US" w:eastAsia="zh-CN"/>
        </w:rPr>
        <w:t xml:space="preserve"> </w:t>
      </w:r>
      <w:r>
        <w:rPr>
          <w:rFonts w:hint="eastAsia" w:ascii="仿宋_GB2312" w:hAnsi="仿宋_GB2312" w:cs="仿宋_GB2312"/>
          <w:b w:val="0"/>
          <w:bCs w:val="0"/>
          <w:sz w:val="24"/>
          <w:szCs w:val="28"/>
          <w:lang w:val="en-US" w:eastAsia="zh-CN"/>
        </w:rPr>
        <w:t>机制月度分解</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cs="仿宋_GB2312"/>
          <w:b w:val="0"/>
          <w:bCs w:val="0"/>
          <w:sz w:val="24"/>
          <w:szCs w:val="28"/>
          <w:lang w:val="en-US" w:eastAsia="zh-CN"/>
        </w:rPr>
      </w:pPr>
      <w:r>
        <w:rPr>
          <w:rFonts w:hint="eastAsia" w:ascii="仿宋_GB2312" w:hAnsi="仿宋_GB2312" w:cs="仿宋_GB2312"/>
          <w:b w:val="0"/>
          <w:bCs w:val="0"/>
          <w:sz w:val="24"/>
          <w:szCs w:val="28"/>
          <w:lang w:val="en-US" w:eastAsia="zh-CN"/>
        </w:rPr>
        <w:t>为竞价申报主体提供机制项目月度结算数据查询服务，助力实时掌握项目结算动态。</w:t>
      </w:r>
    </w:p>
    <w:p>
      <w:pPr>
        <w:keepNext w:val="0"/>
        <w:keepLines w:val="0"/>
        <w:pageBreakBefore w:val="0"/>
        <w:widowControl w:val="0"/>
        <w:numPr>
          <w:ilvl w:val="0"/>
          <w:numId w:val="7"/>
        </w:numPr>
        <w:pBdr>
          <w:bottom w:val="none" w:color="auto" w:sz="0" w:space="0"/>
        </w:pBdr>
        <w:kinsoku/>
        <w:wordWrap/>
        <w:overflowPunct/>
        <w:topLinePunct w:val="0"/>
        <w:autoSpaceDE/>
        <w:autoSpaceDN/>
        <w:bidi w:val="0"/>
        <w:adjustRightInd/>
        <w:snapToGrid/>
        <w:spacing w:line="560" w:lineRule="exact"/>
        <w:ind w:left="0" w:leftChars="0" w:firstLine="480" w:firstLineChars="200"/>
        <w:textAlignment w:val="auto"/>
        <w:rPr>
          <w:rFonts w:hint="eastAsia" w:ascii="仿宋_GB2312" w:hAnsi="仿宋_GB2312" w:eastAsia="仿宋_GB2312" w:cs="仿宋_GB2312"/>
          <w:b w:val="0"/>
          <w:bCs w:val="0"/>
          <w:sz w:val="24"/>
          <w:szCs w:val="28"/>
        </w:rPr>
      </w:pPr>
      <w:r>
        <w:rPr>
          <w:rFonts w:hint="eastAsia" w:ascii="仿宋_GB2312" w:hAnsi="仿宋_GB2312" w:eastAsia="仿宋_GB2312" w:cs="仿宋_GB2312"/>
          <w:b w:val="0"/>
          <w:bCs w:val="0"/>
          <w:sz w:val="24"/>
          <w:szCs w:val="28"/>
        </w:rPr>
        <w:t>选择</w:t>
      </w:r>
      <w:r>
        <w:rPr>
          <w:rFonts w:hint="eastAsia" w:ascii="仿宋_GB2312" w:hAnsi="仿宋_GB2312" w:cs="仿宋_GB2312"/>
          <w:b w:val="0"/>
          <w:bCs w:val="0"/>
          <w:sz w:val="24"/>
          <w:szCs w:val="28"/>
          <w:lang w:val="en-US" w:eastAsia="zh-CN"/>
        </w:rPr>
        <w:t>机制月度分解</w:t>
      </w:r>
      <w:r>
        <w:rPr>
          <w:rFonts w:hint="eastAsia" w:ascii="仿宋_GB2312" w:hAnsi="仿宋_GB2312" w:eastAsia="仿宋_GB2312" w:cs="仿宋_GB2312"/>
          <w:b w:val="0"/>
          <w:bCs w:val="0"/>
          <w:sz w:val="24"/>
          <w:szCs w:val="28"/>
        </w:rPr>
        <w:t>板块，点击【</w:t>
      </w:r>
      <w:r>
        <w:rPr>
          <w:rFonts w:hint="eastAsia" w:ascii="仿宋_GB2312" w:hAnsi="仿宋_GB2312" w:eastAsia="仿宋_GB2312" w:cs="仿宋_GB2312"/>
          <w:b w:val="0"/>
          <w:bCs w:val="0"/>
          <w:color w:val="0000FF"/>
          <w:sz w:val="24"/>
          <w:szCs w:val="28"/>
        </w:rPr>
        <w:t>了解更多</w:t>
      </w:r>
      <w:r>
        <w:rPr>
          <w:rFonts w:hint="eastAsia" w:ascii="仿宋_GB2312" w:hAnsi="仿宋_GB2312" w:eastAsia="仿宋_GB2312" w:cs="仿宋_GB2312"/>
          <w:b w:val="0"/>
          <w:bCs w:val="0"/>
          <w:sz w:val="24"/>
          <w:szCs w:val="28"/>
        </w:rPr>
        <w:t>】，进入</w:t>
      </w:r>
      <w:r>
        <w:rPr>
          <w:rFonts w:hint="eastAsia" w:ascii="仿宋_GB2312" w:hAnsi="仿宋_GB2312" w:cs="仿宋_GB2312"/>
          <w:b w:val="0"/>
          <w:bCs w:val="0"/>
          <w:sz w:val="24"/>
          <w:szCs w:val="28"/>
          <w:lang w:val="en-US" w:eastAsia="zh-CN"/>
        </w:rPr>
        <w:t>机制项目月度结算</w:t>
      </w:r>
      <w:r>
        <w:rPr>
          <w:rFonts w:hint="eastAsia" w:ascii="仿宋_GB2312" w:hAnsi="仿宋_GB2312" w:eastAsia="仿宋_GB2312" w:cs="仿宋_GB2312"/>
          <w:b w:val="0"/>
          <w:bCs w:val="0"/>
          <w:sz w:val="24"/>
          <w:szCs w:val="28"/>
        </w:rPr>
        <w:t>页面。</w:t>
      </w:r>
    </w:p>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firstLine="0" w:firstLineChars="0"/>
        <w:textAlignment w:val="auto"/>
      </w:pPr>
      <w:r>
        <w:drawing>
          <wp:inline distT="0" distB="0" distL="114300" distR="114300">
            <wp:extent cx="5264785" cy="2314575"/>
            <wp:effectExtent l="9525" t="9525" r="21590" b="1270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4"/>
                    <a:stretch>
                      <a:fillRect/>
                    </a:stretch>
                  </pic:blipFill>
                  <pic:spPr>
                    <a:xfrm>
                      <a:off x="0" y="0"/>
                      <a:ext cx="5264785" cy="2314575"/>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7"/>
        </w:numPr>
        <w:pBdr>
          <w:bottom w:val="none" w:color="auto" w:sz="0" w:space="0"/>
        </w:pBdr>
        <w:kinsoku/>
        <w:wordWrap/>
        <w:overflowPunct/>
        <w:topLinePunct w:val="0"/>
        <w:autoSpaceDE/>
        <w:autoSpaceDN/>
        <w:bidi w:val="0"/>
        <w:adjustRightInd/>
        <w:snapToGrid/>
        <w:spacing w:line="560" w:lineRule="exact"/>
        <w:ind w:left="0" w:leftChars="0" w:firstLine="480" w:firstLineChars="200"/>
        <w:textAlignment w:val="auto"/>
        <w:rPr>
          <w:rFonts w:hint="default" w:ascii="仿宋_GB2312" w:hAnsi="仿宋_GB2312" w:cs="仿宋_GB2312"/>
          <w:b w:val="0"/>
          <w:bCs w:val="0"/>
          <w:sz w:val="24"/>
          <w:szCs w:val="28"/>
          <w:lang w:val="en-US" w:eastAsia="zh-CN"/>
        </w:rPr>
      </w:pPr>
      <w:r>
        <w:rPr>
          <w:rFonts w:hint="eastAsia" w:ascii="仿宋_GB2312" w:hAnsi="仿宋_GB2312" w:cs="仿宋_GB2312"/>
          <w:b w:val="0"/>
          <w:bCs w:val="0"/>
          <w:sz w:val="24"/>
          <w:szCs w:val="28"/>
          <w:lang w:val="en-US" w:eastAsia="zh-CN"/>
        </w:rPr>
        <w:t>用户进入机制月度分解后，系统将展示企业名下机制项目的机制结算信息，包括机制执行开始和结束时间、项目纳入机制电量和电价，以及月度分解方式、结算数据等。同时，会对该企业下机制结算数据进行统计分析。</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560" w:lineRule="exact"/>
        <w:ind w:leftChars="0" w:firstLine="480" w:firstLineChars="200"/>
        <w:textAlignment w:val="auto"/>
        <w:rPr>
          <w:rFonts w:hint="eastAsia" w:ascii="仿宋_GB2312" w:hAnsi="仿宋_GB2312" w:cs="仿宋_GB2312"/>
          <w:b w:val="0"/>
          <w:bCs w:val="0"/>
          <w:sz w:val="24"/>
          <w:szCs w:val="28"/>
          <w:lang w:val="en-US" w:eastAsia="zh-CN"/>
        </w:rPr>
      </w:pPr>
      <w:r>
        <w:rPr>
          <w:rFonts w:hint="eastAsia" w:ascii="仿宋_GB2312" w:hAnsi="仿宋_GB2312" w:cs="仿宋_GB2312"/>
          <w:b w:val="0"/>
          <w:bCs w:val="0"/>
          <w:color w:val="0000FF"/>
          <w:sz w:val="24"/>
          <w:szCs w:val="28"/>
          <w:lang w:val="en-US" w:eastAsia="zh-CN"/>
        </w:rPr>
        <w:t>重要提示</w:t>
      </w:r>
      <w:r>
        <w:rPr>
          <w:rFonts w:hint="eastAsia" w:ascii="仿宋_GB2312" w:hAnsi="仿宋_GB2312" w:cs="仿宋_GB2312"/>
          <w:b w:val="0"/>
          <w:bCs w:val="0"/>
          <w:sz w:val="24"/>
          <w:szCs w:val="28"/>
          <w:lang w:val="en-US" w:eastAsia="zh-CN"/>
        </w:rPr>
        <w:t>：不同省份可查看的机制项目信息范围存在差异，部分省份支持同时查看存量和增量全部机制项目信息，而其他省份仅支持查看增量机制项目信息。具体可查看范围请以各省实际规则为准。</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560" w:lineRule="exact"/>
        <w:ind w:leftChars="0" w:firstLine="480" w:firstLineChars="200"/>
        <w:textAlignment w:val="auto"/>
        <w:rPr>
          <w:rFonts w:hint="default" w:ascii="仿宋_GB2312" w:hAnsi="仿宋_GB2312" w:cs="仿宋_GB2312"/>
          <w:b w:val="0"/>
          <w:bCs w:val="0"/>
          <w:sz w:val="24"/>
          <w:szCs w:val="28"/>
          <w:lang w:val="en-US" w:eastAsia="zh-CN"/>
        </w:rPr>
      </w:pPr>
      <w:r>
        <w:rPr>
          <w:rFonts w:hint="eastAsia" w:ascii="仿宋_GB2312" w:hAnsi="仿宋_GB2312" w:cs="仿宋_GB2312"/>
          <w:b w:val="0"/>
          <w:bCs w:val="0"/>
          <w:color w:val="0000FF"/>
          <w:sz w:val="24"/>
          <w:szCs w:val="28"/>
          <w:lang w:val="en-US" w:eastAsia="zh-CN"/>
        </w:rPr>
        <w:t>重要提示</w:t>
      </w:r>
      <w:r>
        <w:rPr>
          <w:rFonts w:hint="eastAsia" w:ascii="仿宋_GB2312" w:hAnsi="仿宋_GB2312" w:cs="仿宋_GB2312"/>
          <w:b w:val="0"/>
          <w:bCs w:val="0"/>
          <w:sz w:val="24"/>
          <w:szCs w:val="28"/>
          <w:lang w:val="en-US" w:eastAsia="zh-CN"/>
        </w:rPr>
        <w:t>：部分省份的发电企业须于每年规定时间内，登录【</w:t>
      </w:r>
      <w:r>
        <w:rPr>
          <w:rFonts w:hint="eastAsia" w:ascii="仿宋_GB2312" w:hAnsi="仿宋_GB2312" w:cs="仿宋_GB2312"/>
          <w:b w:val="0"/>
          <w:bCs w:val="0"/>
          <w:color w:val="0000FF"/>
          <w:sz w:val="24"/>
          <w:szCs w:val="28"/>
          <w:lang w:val="en-US" w:eastAsia="zh-CN"/>
        </w:rPr>
        <w:t>机制月度分解</w:t>
      </w:r>
      <w:r>
        <w:rPr>
          <w:rFonts w:hint="eastAsia" w:ascii="仿宋_GB2312" w:hAnsi="仿宋_GB2312" w:cs="仿宋_GB2312"/>
          <w:b w:val="0"/>
          <w:bCs w:val="0"/>
          <w:sz w:val="24"/>
          <w:szCs w:val="28"/>
          <w:lang w:val="en-US" w:eastAsia="zh-CN"/>
        </w:rPr>
        <w:t>】模块，按本省规则填报下一年度的电量分解或上网电量预测数据。系统将自动执行校验，并对不符合标准的数据实时提示，请企业根据提示及时修正，直至通过</w:t>
      </w:r>
      <w:r>
        <w:rPr>
          <w:rFonts w:hint="default" w:ascii="仿宋_GB2312" w:hAnsi="仿宋_GB2312" w:cs="仿宋_GB2312"/>
          <w:b w:val="0"/>
          <w:bCs w:val="0"/>
          <w:sz w:val="24"/>
          <w:szCs w:val="28"/>
          <w:lang w:val="en-US" w:eastAsia="zh-CN"/>
        </w:rPr>
        <w:t>。</w:t>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240" w:lineRule="auto"/>
        <w:ind w:leftChars="0"/>
        <w:textAlignment w:val="auto"/>
      </w:pPr>
      <w:r>
        <w:drawing>
          <wp:inline distT="0" distB="0" distL="114300" distR="114300">
            <wp:extent cx="5264785" cy="1983105"/>
            <wp:effectExtent l="9525" t="9525" r="21590" b="139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5"/>
                    <a:stretch>
                      <a:fillRect/>
                    </a:stretch>
                  </pic:blipFill>
                  <pic:spPr>
                    <a:xfrm>
                      <a:off x="0" y="0"/>
                      <a:ext cx="5264785" cy="1983105"/>
                    </a:xfrm>
                    <a:prstGeom prst="rect">
                      <a:avLst/>
                    </a:prstGeom>
                    <a:noFill/>
                    <a:ln w="6350">
                      <a:solidFill>
                        <a:schemeClr val="bg1">
                          <a:lumMod val="85000"/>
                        </a:schemeClr>
                      </a:solidFill>
                    </a:ln>
                  </pic:spPr>
                </pic:pic>
              </a:graphicData>
            </a:graphic>
          </wp:inline>
        </w:drawing>
      </w:r>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240" w:lineRule="auto"/>
        <w:ind w:leftChars="0"/>
        <w:textAlignment w:val="auto"/>
        <w:rPr>
          <w:rFonts w:hint="default" w:ascii="仿宋_GB2312" w:hAnsi="仿宋_GB2312" w:cs="仿宋_GB2312"/>
          <w:b w:val="0"/>
          <w:bCs w:val="0"/>
          <w:sz w:val="24"/>
          <w:szCs w:val="28"/>
          <w:lang w:val="en-US" w:eastAsia="zh-CN"/>
        </w:rPr>
      </w:pPr>
      <w:r>
        <w:drawing>
          <wp:inline distT="0" distB="0" distL="114300" distR="114300">
            <wp:extent cx="5271770" cy="2571750"/>
            <wp:effectExtent l="9525" t="9525" r="1460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6"/>
                    <a:stretch>
                      <a:fillRect/>
                    </a:stretch>
                  </pic:blipFill>
                  <pic:spPr>
                    <a:xfrm>
                      <a:off x="0" y="0"/>
                      <a:ext cx="5271770" cy="2571750"/>
                    </a:xfrm>
                    <a:prstGeom prst="rect">
                      <a:avLst/>
                    </a:prstGeom>
                    <a:noFill/>
                    <a:ln w="6350">
                      <a:solidFill>
                        <a:schemeClr val="bg1">
                          <a:lumMod val="85000"/>
                        </a:schemeClr>
                      </a:solidFill>
                    </a:ln>
                  </pic:spPr>
                </pic:pic>
              </a:graphicData>
            </a:graphic>
          </wp:inline>
        </w:drawing>
      </w:r>
    </w:p>
    <w:sectPr>
      <w:headerReference r:id="rId5" w:type="default"/>
      <w:footerReference r:id="rId6" w:type="default"/>
      <w:pgSz w:w="11906" w:h="16838"/>
      <w:pgMar w:top="1491" w:right="1800" w:bottom="1440" w:left="1800" w:header="851" w:footer="992"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12EB437-9459-45B8-9A62-CA38D85716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AC1C0321-FA7C-4EA0-8E22-1969A7040419}"/>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embedRegular r:id="rId3" w:fontKey="{04B153FD-3273-440F-9EF0-2347581E8092}"/>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t>—</w:t>
                          </w:r>
                          <w:r>
                            <w:rPr>
                              <w:rFonts w:hint="eastAsia" w:ascii="仿宋_GB2312" w:hAnsi="仿宋_GB2312" w:eastAsia="仿宋_GB2312" w:cs="仿宋_GB2312"/>
                            </w:rPr>
                            <w:t xml:space="preserve">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3"/>
                    </w:pPr>
                    <w:r>
                      <w:t>—</w:t>
                    </w:r>
                    <w:r>
                      <w:rPr>
                        <w:rFonts w:hint="eastAsia" w:ascii="仿宋_GB2312" w:hAnsi="仿宋_GB2312" w:eastAsia="仿宋_GB2312" w:cs="仿宋_GB2312"/>
                      </w:rPr>
                      <w:t xml:space="preserve">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w:t>
                    </w:r>
                    <w: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576"/>
      </w:tabs>
      <w:wordWrap w:val="0"/>
      <w:ind w:firstLine="640"/>
      <w:jc w:val="right"/>
      <w:rPr>
        <w:rFonts w:hint="default" w:ascii="仿宋_GB2312" w:hAnsi="仿宋_GB2312" w:cs="仿宋_GB2312"/>
        <w:sz w:val="21"/>
        <w:szCs w:val="21"/>
        <w:lang w:val="en-US" w:eastAsia="zh-CN"/>
      </w:rPr>
    </w:pPr>
    <w:r>
      <w:rPr>
        <w:rFonts w:hint="eastAsia" w:ascii="仿宋_GB2312" w:hAnsi="仿宋_GB2312" w:eastAsia="仿宋_GB2312" w:cs="仿宋_GB2312"/>
        <w:sz w:val="21"/>
        <w:szCs w:val="21"/>
        <w:lang w:val="en-US" w:eastAsia="zh-CN"/>
      </w:rPr>
      <w:t>版本：V2.1.</w:t>
    </w:r>
    <w:r>
      <w:rPr>
        <w:rFonts w:hint="eastAsia" w:ascii="仿宋_GB2312" w:hAnsi="仿宋_GB2312" w:cs="仿宋_GB2312"/>
        <w:sz w:val="21"/>
        <w:szCs w:val="21"/>
        <w:lang w:val="en-US" w:eastAsia="zh-CN"/>
      </w:rPr>
      <w:t xml:space="preserve">1 </w:t>
    </w:r>
    <w:r>
      <w:rPr>
        <w:rFonts w:hint="eastAsia" w:ascii="仿宋_GB2312" w:hAnsi="仿宋_GB2312" w:eastAsia="仿宋_GB2312" w:cs="仿宋_GB2312"/>
        <w:sz w:val="21"/>
        <w:szCs w:val="21"/>
        <w:lang w:val="en-US" w:eastAsia="zh-CN"/>
      </w:rPr>
      <w:t>|</w:t>
    </w:r>
    <w:r>
      <w:rPr>
        <w:rFonts w:hint="eastAsia" w:ascii="仿宋_GB2312" w:hAnsi="仿宋_GB2312" w:cs="仿宋_GB2312"/>
        <w:sz w:val="21"/>
        <w:szCs w:val="21"/>
        <w:lang w:val="en-US" w:eastAsia="zh-CN"/>
      </w:rPr>
      <w:t xml:space="preserve"> 2025.08.22 </w:t>
    </w:r>
  </w:p>
  <w:p>
    <w:pPr>
      <w:keepNext w:val="0"/>
      <w:keepLines w:val="0"/>
      <w:pageBreakBefore w:val="0"/>
      <w:widowControl w:val="0"/>
      <w:tabs>
        <w:tab w:val="left" w:pos="7576"/>
      </w:tabs>
      <w:kinsoku/>
      <w:wordWrap/>
      <w:overflowPunct/>
      <w:topLinePunct w:val="0"/>
      <w:autoSpaceDE/>
      <w:autoSpaceDN/>
      <w:bidi w:val="0"/>
      <w:adjustRightInd/>
      <w:snapToGrid/>
      <w:spacing w:line="240" w:lineRule="auto"/>
      <w:ind w:firstLine="640"/>
      <w:jc w:val="right"/>
      <w:textAlignment w:val="auto"/>
      <w:rPr>
        <w:rFonts w:hint="default" w:ascii="仿宋_GB2312" w:hAnsi="仿宋_GB2312" w:cs="仿宋_GB2312"/>
        <w:sz w:val="21"/>
        <w:szCs w:val="21"/>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0E878"/>
    <w:multiLevelType w:val="singleLevel"/>
    <w:tmpl w:val="F4C0E878"/>
    <w:lvl w:ilvl="0" w:tentative="0">
      <w:start w:val="2"/>
      <w:numFmt w:val="decimal"/>
      <w:suff w:val="nothing"/>
      <w:lvlText w:val="%1）"/>
      <w:lvlJc w:val="left"/>
    </w:lvl>
  </w:abstractNum>
  <w:abstractNum w:abstractNumId="1">
    <w:nsid w:val="FBC6F38C"/>
    <w:multiLevelType w:val="singleLevel"/>
    <w:tmpl w:val="FBC6F38C"/>
    <w:lvl w:ilvl="0" w:tentative="0">
      <w:start w:val="1"/>
      <w:numFmt w:val="decimal"/>
      <w:suff w:val="nothing"/>
      <w:lvlText w:val="%1）"/>
      <w:lvlJc w:val="left"/>
      <w:rPr>
        <w:rFonts w:hint="default" w:ascii="仿宋_GB2312" w:hAnsi="仿宋_GB2312" w:eastAsia="仿宋_GB2312" w:cs="仿宋_GB2312"/>
        <w:sz w:val="24"/>
        <w:szCs w:val="24"/>
      </w:rPr>
    </w:lvl>
  </w:abstractNum>
  <w:abstractNum w:abstractNumId="2">
    <w:nsid w:val="0053208E"/>
    <w:multiLevelType w:val="multilevel"/>
    <w:tmpl w:val="0053208E"/>
    <w:lvl w:ilvl="0" w:tentative="0">
      <w:start w:val="1"/>
      <w:numFmt w:val="chineseCountingThousand"/>
      <w:lvlText w:val="%1、"/>
      <w:lvlJc w:val="left"/>
      <w:pPr>
        <w:ind w:left="462" w:hanging="462"/>
      </w:pPr>
      <w:rPr>
        <w:rFonts w:hint="default"/>
      </w:rPr>
    </w:lvl>
    <w:lvl w:ilvl="1" w:tentative="0">
      <w:start w:val="1"/>
      <w:numFmt w:val="decimal"/>
      <w:lvlText w:val="%2、"/>
      <w:lvlJc w:val="left"/>
      <w:pPr>
        <w:ind w:left="776" w:hanging="336"/>
      </w:pPr>
    </w:lvl>
    <w:lvl w:ilvl="2" w:tentative="0">
      <w:start w:val="1"/>
      <w:numFmt w:val="lowerLetter"/>
      <w:lvlText w:val="%3)"/>
      <w:lvlJc w:val="left"/>
      <w:pPr>
        <w:ind w:left="1216" w:hanging="336"/>
      </w:pPr>
    </w:lvl>
    <w:lvl w:ilvl="3" w:tentative="0">
      <w:start w:val="1"/>
      <w:numFmt w:val="chineseCountingThousand"/>
      <w:lvlText w:val="%4、"/>
      <w:lvlJc w:val="left"/>
      <w:pPr>
        <w:ind w:left="1782" w:hanging="462"/>
      </w:pPr>
    </w:lvl>
    <w:lvl w:ilvl="4" w:tentative="0">
      <w:start w:val="1"/>
      <w:numFmt w:val="decimal"/>
      <w:lvlText w:val="%5、"/>
      <w:lvlJc w:val="left"/>
      <w:pPr>
        <w:ind w:left="2096" w:hanging="336"/>
      </w:pPr>
    </w:lvl>
    <w:lvl w:ilvl="5" w:tentative="0">
      <w:start w:val="1"/>
      <w:numFmt w:val="lowerLetter"/>
      <w:lvlText w:val="%6)"/>
      <w:lvlJc w:val="left"/>
      <w:pPr>
        <w:ind w:left="2536" w:hanging="336"/>
      </w:pPr>
    </w:lvl>
    <w:lvl w:ilvl="6" w:tentative="0">
      <w:start w:val="1"/>
      <w:numFmt w:val="chineseCountingThousand"/>
      <w:lvlText w:val="%7、"/>
      <w:lvlJc w:val="left"/>
      <w:pPr>
        <w:ind w:left="3102" w:hanging="462"/>
      </w:pPr>
    </w:lvl>
    <w:lvl w:ilvl="7" w:tentative="0">
      <w:start w:val="1"/>
      <w:numFmt w:val="decimal"/>
      <w:lvlText w:val="%8、"/>
      <w:lvlJc w:val="left"/>
      <w:pPr>
        <w:ind w:left="3416" w:hanging="336"/>
      </w:pPr>
    </w:lvl>
    <w:lvl w:ilvl="8" w:tentative="0">
      <w:start w:val="1"/>
      <w:numFmt w:val="lowerLetter"/>
      <w:lvlText w:val="%9)"/>
      <w:lvlJc w:val="left"/>
      <w:pPr>
        <w:ind w:left="3856" w:hanging="336"/>
      </w:pPr>
    </w:lvl>
  </w:abstractNum>
  <w:abstractNum w:abstractNumId="3">
    <w:nsid w:val="1E5507F3"/>
    <w:multiLevelType w:val="singleLevel"/>
    <w:tmpl w:val="1E5507F3"/>
    <w:lvl w:ilvl="0" w:tentative="0">
      <w:start w:val="2"/>
      <w:numFmt w:val="decimal"/>
      <w:suff w:val="nothing"/>
      <w:lvlText w:val="%1）"/>
      <w:lvlJc w:val="left"/>
    </w:lvl>
  </w:abstractNum>
  <w:abstractNum w:abstractNumId="4">
    <w:nsid w:val="46F80F13"/>
    <w:multiLevelType w:val="singleLevel"/>
    <w:tmpl w:val="46F80F13"/>
    <w:lvl w:ilvl="0" w:tentative="0">
      <w:start w:val="1"/>
      <w:numFmt w:val="decimal"/>
      <w:suff w:val="nothing"/>
      <w:lvlText w:val="%1）"/>
      <w:lvlJc w:val="left"/>
      <w:rPr>
        <w:rFonts w:hint="default" w:ascii="仿宋_GB2312" w:hAnsi="仿宋_GB2312" w:eastAsia="仿宋_GB2312" w:cs="仿宋_GB2312"/>
        <w:sz w:val="24"/>
        <w:szCs w:val="24"/>
      </w:rPr>
    </w:lvl>
  </w:abstractNum>
  <w:abstractNum w:abstractNumId="5">
    <w:nsid w:val="4864A9AF"/>
    <w:multiLevelType w:val="singleLevel"/>
    <w:tmpl w:val="4864A9AF"/>
    <w:lvl w:ilvl="0" w:tentative="0">
      <w:start w:val="2"/>
      <w:numFmt w:val="decimal"/>
      <w:suff w:val="nothing"/>
      <w:lvlText w:val="%1）"/>
      <w:lvlJc w:val="left"/>
    </w:lvl>
  </w:abstractNum>
  <w:abstractNum w:abstractNumId="6">
    <w:nsid w:val="7A3E7E9A"/>
    <w:multiLevelType w:val="multilevel"/>
    <w:tmpl w:val="7A3E7E9A"/>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num w:numId="1">
    <w:abstractNumId w:val="6"/>
  </w:num>
  <w:num w:numId="2">
    <w:abstractNumId w:val="2"/>
  </w:num>
  <w:num w:numId="3">
    <w:abstractNumId w:val="3"/>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zNjRhZjUxNjJiMmVjZmRiNWU2NDI3NWMxNDdkOGEifQ=="/>
  </w:docVars>
  <w:rsids>
    <w:rsidRoot w:val="00D85B76"/>
    <w:rsid w:val="00005402"/>
    <w:rsid w:val="00007092"/>
    <w:rsid w:val="00013BFD"/>
    <w:rsid w:val="00017635"/>
    <w:rsid w:val="0002276E"/>
    <w:rsid w:val="000234BC"/>
    <w:rsid w:val="00025322"/>
    <w:rsid w:val="0002587C"/>
    <w:rsid w:val="00031C4D"/>
    <w:rsid w:val="00032B2B"/>
    <w:rsid w:val="00036D62"/>
    <w:rsid w:val="000408C6"/>
    <w:rsid w:val="00050F52"/>
    <w:rsid w:val="0005540C"/>
    <w:rsid w:val="00056CC2"/>
    <w:rsid w:val="00065CC1"/>
    <w:rsid w:val="000908B3"/>
    <w:rsid w:val="00093931"/>
    <w:rsid w:val="000A088E"/>
    <w:rsid w:val="000A1297"/>
    <w:rsid w:val="000B51E4"/>
    <w:rsid w:val="000B6011"/>
    <w:rsid w:val="000C1216"/>
    <w:rsid w:val="000C40EE"/>
    <w:rsid w:val="000C4849"/>
    <w:rsid w:val="000C54CF"/>
    <w:rsid w:val="000F54DD"/>
    <w:rsid w:val="00104446"/>
    <w:rsid w:val="00111C17"/>
    <w:rsid w:val="00112492"/>
    <w:rsid w:val="00113B72"/>
    <w:rsid w:val="00115DFB"/>
    <w:rsid w:val="00116EB0"/>
    <w:rsid w:val="001203CD"/>
    <w:rsid w:val="00122DE3"/>
    <w:rsid w:val="0012689B"/>
    <w:rsid w:val="0013033B"/>
    <w:rsid w:val="00130A34"/>
    <w:rsid w:val="00133E49"/>
    <w:rsid w:val="00136019"/>
    <w:rsid w:val="0014573A"/>
    <w:rsid w:val="00157697"/>
    <w:rsid w:val="001578CE"/>
    <w:rsid w:val="001710B0"/>
    <w:rsid w:val="00171AEB"/>
    <w:rsid w:val="001827DE"/>
    <w:rsid w:val="001841A2"/>
    <w:rsid w:val="00184C93"/>
    <w:rsid w:val="00185306"/>
    <w:rsid w:val="001933AD"/>
    <w:rsid w:val="001933B7"/>
    <w:rsid w:val="00194E8B"/>
    <w:rsid w:val="00195E4A"/>
    <w:rsid w:val="001B6FD2"/>
    <w:rsid w:val="001C69BA"/>
    <w:rsid w:val="001D094D"/>
    <w:rsid w:val="001E2BCC"/>
    <w:rsid w:val="001E4A94"/>
    <w:rsid w:val="001E6F43"/>
    <w:rsid w:val="001F4D9C"/>
    <w:rsid w:val="001F763C"/>
    <w:rsid w:val="00200E1A"/>
    <w:rsid w:val="00201C56"/>
    <w:rsid w:val="00215402"/>
    <w:rsid w:val="00215B68"/>
    <w:rsid w:val="00216BA4"/>
    <w:rsid w:val="002367BE"/>
    <w:rsid w:val="00236B68"/>
    <w:rsid w:val="00247445"/>
    <w:rsid w:val="002506A0"/>
    <w:rsid w:val="00250D8F"/>
    <w:rsid w:val="00253FA9"/>
    <w:rsid w:val="00265AEC"/>
    <w:rsid w:val="00266C19"/>
    <w:rsid w:val="00267186"/>
    <w:rsid w:val="0026747F"/>
    <w:rsid w:val="00274B6D"/>
    <w:rsid w:val="002A4D94"/>
    <w:rsid w:val="002B302A"/>
    <w:rsid w:val="002B49AD"/>
    <w:rsid w:val="002C206A"/>
    <w:rsid w:val="002C562C"/>
    <w:rsid w:val="002F6CDE"/>
    <w:rsid w:val="002F6EF8"/>
    <w:rsid w:val="0030121A"/>
    <w:rsid w:val="00314685"/>
    <w:rsid w:val="0032609E"/>
    <w:rsid w:val="0033255A"/>
    <w:rsid w:val="0034668E"/>
    <w:rsid w:val="00356B85"/>
    <w:rsid w:val="0036424A"/>
    <w:rsid w:val="003806D8"/>
    <w:rsid w:val="0038618C"/>
    <w:rsid w:val="00392495"/>
    <w:rsid w:val="003A1661"/>
    <w:rsid w:val="003A65A9"/>
    <w:rsid w:val="003B2991"/>
    <w:rsid w:val="003C0F80"/>
    <w:rsid w:val="003D589A"/>
    <w:rsid w:val="003F0E74"/>
    <w:rsid w:val="003F1C6C"/>
    <w:rsid w:val="004072A6"/>
    <w:rsid w:val="004150B7"/>
    <w:rsid w:val="0041694B"/>
    <w:rsid w:val="00425CAB"/>
    <w:rsid w:val="00434CF8"/>
    <w:rsid w:val="0043772F"/>
    <w:rsid w:val="00437990"/>
    <w:rsid w:val="0044394B"/>
    <w:rsid w:val="00447EA5"/>
    <w:rsid w:val="00450285"/>
    <w:rsid w:val="00455D00"/>
    <w:rsid w:val="00461867"/>
    <w:rsid w:val="004673A1"/>
    <w:rsid w:val="00477287"/>
    <w:rsid w:val="00480C5C"/>
    <w:rsid w:val="00483BE5"/>
    <w:rsid w:val="00485734"/>
    <w:rsid w:val="004868E4"/>
    <w:rsid w:val="00486D68"/>
    <w:rsid w:val="00491B45"/>
    <w:rsid w:val="00495B14"/>
    <w:rsid w:val="004A42CB"/>
    <w:rsid w:val="004B7D29"/>
    <w:rsid w:val="004D0F17"/>
    <w:rsid w:val="004D2807"/>
    <w:rsid w:val="004D64B1"/>
    <w:rsid w:val="004E18AC"/>
    <w:rsid w:val="004E413B"/>
    <w:rsid w:val="004E574C"/>
    <w:rsid w:val="004E7FAD"/>
    <w:rsid w:val="004F029B"/>
    <w:rsid w:val="004F02FB"/>
    <w:rsid w:val="004F310E"/>
    <w:rsid w:val="005003F1"/>
    <w:rsid w:val="00504885"/>
    <w:rsid w:val="00505CEA"/>
    <w:rsid w:val="00507036"/>
    <w:rsid w:val="00517F6E"/>
    <w:rsid w:val="00533C0D"/>
    <w:rsid w:val="00542ED4"/>
    <w:rsid w:val="005430B5"/>
    <w:rsid w:val="0054629F"/>
    <w:rsid w:val="00555CC3"/>
    <w:rsid w:val="005564D3"/>
    <w:rsid w:val="00560A50"/>
    <w:rsid w:val="00565426"/>
    <w:rsid w:val="00585188"/>
    <w:rsid w:val="00591B22"/>
    <w:rsid w:val="005A197B"/>
    <w:rsid w:val="005A520F"/>
    <w:rsid w:val="005A5A10"/>
    <w:rsid w:val="005A73DA"/>
    <w:rsid w:val="005B7F56"/>
    <w:rsid w:val="005C2B92"/>
    <w:rsid w:val="005C3EDB"/>
    <w:rsid w:val="005D0E28"/>
    <w:rsid w:val="005D4A55"/>
    <w:rsid w:val="005E25FF"/>
    <w:rsid w:val="005E3238"/>
    <w:rsid w:val="005E3976"/>
    <w:rsid w:val="005E3DD1"/>
    <w:rsid w:val="005E43FD"/>
    <w:rsid w:val="005F0B9D"/>
    <w:rsid w:val="005F6F13"/>
    <w:rsid w:val="00600CF2"/>
    <w:rsid w:val="00606A91"/>
    <w:rsid w:val="00611367"/>
    <w:rsid w:val="00623205"/>
    <w:rsid w:val="0062560B"/>
    <w:rsid w:val="006371A7"/>
    <w:rsid w:val="006407B2"/>
    <w:rsid w:val="00642F77"/>
    <w:rsid w:val="00642F7C"/>
    <w:rsid w:val="00654897"/>
    <w:rsid w:val="00657760"/>
    <w:rsid w:val="00663995"/>
    <w:rsid w:val="00670187"/>
    <w:rsid w:val="006715D8"/>
    <w:rsid w:val="0067223A"/>
    <w:rsid w:val="00675619"/>
    <w:rsid w:val="00693194"/>
    <w:rsid w:val="00694E57"/>
    <w:rsid w:val="00696EF2"/>
    <w:rsid w:val="00697136"/>
    <w:rsid w:val="006B2DD7"/>
    <w:rsid w:val="006B5874"/>
    <w:rsid w:val="006C19C5"/>
    <w:rsid w:val="006C7FD8"/>
    <w:rsid w:val="006D1433"/>
    <w:rsid w:val="006D68E1"/>
    <w:rsid w:val="006D6B60"/>
    <w:rsid w:val="006E2CB0"/>
    <w:rsid w:val="006F2279"/>
    <w:rsid w:val="006F242C"/>
    <w:rsid w:val="006F7B6A"/>
    <w:rsid w:val="007055C4"/>
    <w:rsid w:val="00707CC1"/>
    <w:rsid w:val="00710383"/>
    <w:rsid w:val="0071662C"/>
    <w:rsid w:val="007253E9"/>
    <w:rsid w:val="00730D63"/>
    <w:rsid w:val="00740D85"/>
    <w:rsid w:val="00744456"/>
    <w:rsid w:val="00763097"/>
    <w:rsid w:val="007641EE"/>
    <w:rsid w:val="00771421"/>
    <w:rsid w:val="007758FB"/>
    <w:rsid w:val="0077624F"/>
    <w:rsid w:val="00777744"/>
    <w:rsid w:val="007810E4"/>
    <w:rsid w:val="007822E6"/>
    <w:rsid w:val="0079122E"/>
    <w:rsid w:val="007914A7"/>
    <w:rsid w:val="007A5DAF"/>
    <w:rsid w:val="007B2589"/>
    <w:rsid w:val="007B39EF"/>
    <w:rsid w:val="007B5280"/>
    <w:rsid w:val="007B5862"/>
    <w:rsid w:val="007B663D"/>
    <w:rsid w:val="007B6C08"/>
    <w:rsid w:val="007B72D8"/>
    <w:rsid w:val="007B735C"/>
    <w:rsid w:val="007C42C9"/>
    <w:rsid w:val="007C5AA5"/>
    <w:rsid w:val="007C617A"/>
    <w:rsid w:val="007C6316"/>
    <w:rsid w:val="007D32D0"/>
    <w:rsid w:val="007D6D7C"/>
    <w:rsid w:val="007E351A"/>
    <w:rsid w:val="007F264A"/>
    <w:rsid w:val="007F6C6F"/>
    <w:rsid w:val="00814742"/>
    <w:rsid w:val="0081512A"/>
    <w:rsid w:val="008251F8"/>
    <w:rsid w:val="008256C1"/>
    <w:rsid w:val="00831E40"/>
    <w:rsid w:val="00833ABD"/>
    <w:rsid w:val="00836485"/>
    <w:rsid w:val="00841E76"/>
    <w:rsid w:val="00852AC5"/>
    <w:rsid w:val="00853A48"/>
    <w:rsid w:val="0085620C"/>
    <w:rsid w:val="008565BE"/>
    <w:rsid w:val="0085768C"/>
    <w:rsid w:val="00863D2C"/>
    <w:rsid w:val="00864323"/>
    <w:rsid w:val="00873ED6"/>
    <w:rsid w:val="00877434"/>
    <w:rsid w:val="008778A9"/>
    <w:rsid w:val="00894620"/>
    <w:rsid w:val="00895268"/>
    <w:rsid w:val="0089693B"/>
    <w:rsid w:val="008A371F"/>
    <w:rsid w:val="008A6546"/>
    <w:rsid w:val="008A6AD3"/>
    <w:rsid w:val="008B317D"/>
    <w:rsid w:val="008B7F78"/>
    <w:rsid w:val="008C0B89"/>
    <w:rsid w:val="008C34D6"/>
    <w:rsid w:val="008D1F2E"/>
    <w:rsid w:val="008D7964"/>
    <w:rsid w:val="008E38EF"/>
    <w:rsid w:val="008E3F57"/>
    <w:rsid w:val="008F3B75"/>
    <w:rsid w:val="008F5719"/>
    <w:rsid w:val="00900EF3"/>
    <w:rsid w:val="00902371"/>
    <w:rsid w:val="00902818"/>
    <w:rsid w:val="009102D1"/>
    <w:rsid w:val="00920001"/>
    <w:rsid w:val="0092702C"/>
    <w:rsid w:val="00932D9E"/>
    <w:rsid w:val="00937634"/>
    <w:rsid w:val="0094051B"/>
    <w:rsid w:val="00942F73"/>
    <w:rsid w:val="009453A3"/>
    <w:rsid w:val="009470AE"/>
    <w:rsid w:val="00957451"/>
    <w:rsid w:val="009611B0"/>
    <w:rsid w:val="00965B7D"/>
    <w:rsid w:val="00965EAC"/>
    <w:rsid w:val="009725B1"/>
    <w:rsid w:val="00974F68"/>
    <w:rsid w:val="009803B4"/>
    <w:rsid w:val="00980D7C"/>
    <w:rsid w:val="009940CF"/>
    <w:rsid w:val="009A0E5F"/>
    <w:rsid w:val="009B5113"/>
    <w:rsid w:val="009B7222"/>
    <w:rsid w:val="009C675E"/>
    <w:rsid w:val="009C77C9"/>
    <w:rsid w:val="009E12FE"/>
    <w:rsid w:val="009E227E"/>
    <w:rsid w:val="009F0376"/>
    <w:rsid w:val="009F223B"/>
    <w:rsid w:val="00A0202C"/>
    <w:rsid w:val="00A06ED4"/>
    <w:rsid w:val="00A24DA9"/>
    <w:rsid w:val="00A274EC"/>
    <w:rsid w:val="00A278D6"/>
    <w:rsid w:val="00A325D4"/>
    <w:rsid w:val="00A34BE9"/>
    <w:rsid w:val="00A34DDF"/>
    <w:rsid w:val="00A43CC5"/>
    <w:rsid w:val="00A43F7F"/>
    <w:rsid w:val="00A50EDB"/>
    <w:rsid w:val="00A524B6"/>
    <w:rsid w:val="00A60541"/>
    <w:rsid w:val="00A61585"/>
    <w:rsid w:val="00A63A74"/>
    <w:rsid w:val="00A63E35"/>
    <w:rsid w:val="00A703BF"/>
    <w:rsid w:val="00A737A5"/>
    <w:rsid w:val="00A804FE"/>
    <w:rsid w:val="00A81DA0"/>
    <w:rsid w:val="00A81FDD"/>
    <w:rsid w:val="00A84C05"/>
    <w:rsid w:val="00A9438E"/>
    <w:rsid w:val="00A963B0"/>
    <w:rsid w:val="00A97B37"/>
    <w:rsid w:val="00AA2002"/>
    <w:rsid w:val="00AA27A2"/>
    <w:rsid w:val="00AB4184"/>
    <w:rsid w:val="00AC04B8"/>
    <w:rsid w:val="00AC0A7D"/>
    <w:rsid w:val="00AC2D57"/>
    <w:rsid w:val="00AC772D"/>
    <w:rsid w:val="00AD10E6"/>
    <w:rsid w:val="00AD4B00"/>
    <w:rsid w:val="00AE1056"/>
    <w:rsid w:val="00AE1915"/>
    <w:rsid w:val="00AE506E"/>
    <w:rsid w:val="00B02178"/>
    <w:rsid w:val="00B0591F"/>
    <w:rsid w:val="00B06849"/>
    <w:rsid w:val="00B12C79"/>
    <w:rsid w:val="00B27FAE"/>
    <w:rsid w:val="00B31097"/>
    <w:rsid w:val="00B31490"/>
    <w:rsid w:val="00B34EDA"/>
    <w:rsid w:val="00B350D4"/>
    <w:rsid w:val="00B45600"/>
    <w:rsid w:val="00B62B81"/>
    <w:rsid w:val="00B740E4"/>
    <w:rsid w:val="00B834FA"/>
    <w:rsid w:val="00B84C32"/>
    <w:rsid w:val="00B84C5E"/>
    <w:rsid w:val="00B84F1F"/>
    <w:rsid w:val="00B85E2A"/>
    <w:rsid w:val="00B90DE9"/>
    <w:rsid w:val="00B9162C"/>
    <w:rsid w:val="00B9378A"/>
    <w:rsid w:val="00B96F2E"/>
    <w:rsid w:val="00BA5C99"/>
    <w:rsid w:val="00BB0359"/>
    <w:rsid w:val="00BB07ED"/>
    <w:rsid w:val="00BC1B2A"/>
    <w:rsid w:val="00BC5A2B"/>
    <w:rsid w:val="00BC5F04"/>
    <w:rsid w:val="00BC7F84"/>
    <w:rsid w:val="00BD0521"/>
    <w:rsid w:val="00BD2ABC"/>
    <w:rsid w:val="00BE4D96"/>
    <w:rsid w:val="00BE65B0"/>
    <w:rsid w:val="00BF11DF"/>
    <w:rsid w:val="00BF7981"/>
    <w:rsid w:val="00C0479C"/>
    <w:rsid w:val="00C054D6"/>
    <w:rsid w:val="00C05A88"/>
    <w:rsid w:val="00C14A13"/>
    <w:rsid w:val="00C26DF1"/>
    <w:rsid w:val="00C31624"/>
    <w:rsid w:val="00C31C1E"/>
    <w:rsid w:val="00C34EC7"/>
    <w:rsid w:val="00C37AE1"/>
    <w:rsid w:val="00C43434"/>
    <w:rsid w:val="00C444E5"/>
    <w:rsid w:val="00C54177"/>
    <w:rsid w:val="00C54C82"/>
    <w:rsid w:val="00C5614F"/>
    <w:rsid w:val="00C56841"/>
    <w:rsid w:val="00C66492"/>
    <w:rsid w:val="00C809FA"/>
    <w:rsid w:val="00C838A5"/>
    <w:rsid w:val="00C85255"/>
    <w:rsid w:val="00CA3641"/>
    <w:rsid w:val="00CA4003"/>
    <w:rsid w:val="00CB5E0C"/>
    <w:rsid w:val="00CC0DCB"/>
    <w:rsid w:val="00CC0F6F"/>
    <w:rsid w:val="00CC1D24"/>
    <w:rsid w:val="00CC24B3"/>
    <w:rsid w:val="00CC5C59"/>
    <w:rsid w:val="00CD28C3"/>
    <w:rsid w:val="00CD50D5"/>
    <w:rsid w:val="00CD6EC0"/>
    <w:rsid w:val="00CE628A"/>
    <w:rsid w:val="00CF4343"/>
    <w:rsid w:val="00CF6594"/>
    <w:rsid w:val="00D00BC5"/>
    <w:rsid w:val="00D03E11"/>
    <w:rsid w:val="00D11906"/>
    <w:rsid w:val="00D13FE5"/>
    <w:rsid w:val="00D17002"/>
    <w:rsid w:val="00D17B1D"/>
    <w:rsid w:val="00D2338F"/>
    <w:rsid w:val="00D31A8B"/>
    <w:rsid w:val="00D34875"/>
    <w:rsid w:val="00D36D0D"/>
    <w:rsid w:val="00D4219D"/>
    <w:rsid w:val="00D425AC"/>
    <w:rsid w:val="00D51D4F"/>
    <w:rsid w:val="00D54467"/>
    <w:rsid w:val="00D6217F"/>
    <w:rsid w:val="00D719B2"/>
    <w:rsid w:val="00D728BD"/>
    <w:rsid w:val="00D7791D"/>
    <w:rsid w:val="00D8101C"/>
    <w:rsid w:val="00D83317"/>
    <w:rsid w:val="00D83B66"/>
    <w:rsid w:val="00D85B76"/>
    <w:rsid w:val="00D95C1D"/>
    <w:rsid w:val="00DC139F"/>
    <w:rsid w:val="00DD2EA5"/>
    <w:rsid w:val="00DD5904"/>
    <w:rsid w:val="00DD737B"/>
    <w:rsid w:val="00DE79B1"/>
    <w:rsid w:val="00DF0CE5"/>
    <w:rsid w:val="00E00A0F"/>
    <w:rsid w:val="00E12303"/>
    <w:rsid w:val="00E22DE3"/>
    <w:rsid w:val="00E26F9D"/>
    <w:rsid w:val="00E27D59"/>
    <w:rsid w:val="00E32DBA"/>
    <w:rsid w:val="00E33EC1"/>
    <w:rsid w:val="00E349F7"/>
    <w:rsid w:val="00E51F37"/>
    <w:rsid w:val="00E56170"/>
    <w:rsid w:val="00E60AC2"/>
    <w:rsid w:val="00E613C7"/>
    <w:rsid w:val="00E6173F"/>
    <w:rsid w:val="00E63A7B"/>
    <w:rsid w:val="00E65ABA"/>
    <w:rsid w:val="00E7012E"/>
    <w:rsid w:val="00E739EF"/>
    <w:rsid w:val="00E74526"/>
    <w:rsid w:val="00E934F2"/>
    <w:rsid w:val="00E93F9C"/>
    <w:rsid w:val="00E94B08"/>
    <w:rsid w:val="00EA4184"/>
    <w:rsid w:val="00EA42F3"/>
    <w:rsid w:val="00EB1D2F"/>
    <w:rsid w:val="00EB367C"/>
    <w:rsid w:val="00EB3C8C"/>
    <w:rsid w:val="00EB4B5E"/>
    <w:rsid w:val="00EC0A62"/>
    <w:rsid w:val="00EC0B8B"/>
    <w:rsid w:val="00ED16F5"/>
    <w:rsid w:val="00ED20C9"/>
    <w:rsid w:val="00ED52B7"/>
    <w:rsid w:val="00EE469B"/>
    <w:rsid w:val="00EE49FB"/>
    <w:rsid w:val="00EF1DC4"/>
    <w:rsid w:val="00F0494E"/>
    <w:rsid w:val="00F05337"/>
    <w:rsid w:val="00F10310"/>
    <w:rsid w:val="00F12C3B"/>
    <w:rsid w:val="00F4263D"/>
    <w:rsid w:val="00F52338"/>
    <w:rsid w:val="00F53F67"/>
    <w:rsid w:val="00F565EF"/>
    <w:rsid w:val="00F57CF4"/>
    <w:rsid w:val="00F630F5"/>
    <w:rsid w:val="00F665B3"/>
    <w:rsid w:val="00F71C61"/>
    <w:rsid w:val="00F7243F"/>
    <w:rsid w:val="00F73BC6"/>
    <w:rsid w:val="00F84BFE"/>
    <w:rsid w:val="00F90765"/>
    <w:rsid w:val="00FA00A3"/>
    <w:rsid w:val="00FA3023"/>
    <w:rsid w:val="00FC0200"/>
    <w:rsid w:val="00FC16E7"/>
    <w:rsid w:val="00FD5288"/>
    <w:rsid w:val="00FE74D3"/>
    <w:rsid w:val="00FF0BD2"/>
    <w:rsid w:val="00FF1514"/>
    <w:rsid w:val="00FF3FE8"/>
    <w:rsid w:val="00FF5277"/>
    <w:rsid w:val="00FF5618"/>
    <w:rsid w:val="01282E62"/>
    <w:rsid w:val="015679D0"/>
    <w:rsid w:val="017D4F5C"/>
    <w:rsid w:val="018E7B86"/>
    <w:rsid w:val="01BD7A4F"/>
    <w:rsid w:val="01C74429"/>
    <w:rsid w:val="01CC7CF9"/>
    <w:rsid w:val="020823CE"/>
    <w:rsid w:val="02303924"/>
    <w:rsid w:val="029D518A"/>
    <w:rsid w:val="02BF77F6"/>
    <w:rsid w:val="02CD5A6F"/>
    <w:rsid w:val="02EB05EB"/>
    <w:rsid w:val="02EB2F61"/>
    <w:rsid w:val="02F22669"/>
    <w:rsid w:val="02FB6180"/>
    <w:rsid w:val="03B24C65"/>
    <w:rsid w:val="03FA6D38"/>
    <w:rsid w:val="03FB2A2B"/>
    <w:rsid w:val="04025BED"/>
    <w:rsid w:val="044E0E32"/>
    <w:rsid w:val="04730898"/>
    <w:rsid w:val="049C1B9D"/>
    <w:rsid w:val="049D3B67"/>
    <w:rsid w:val="04E62626"/>
    <w:rsid w:val="04ED41A7"/>
    <w:rsid w:val="0523406D"/>
    <w:rsid w:val="052D4EEB"/>
    <w:rsid w:val="05353DA0"/>
    <w:rsid w:val="05655910"/>
    <w:rsid w:val="05856AD5"/>
    <w:rsid w:val="05880374"/>
    <w:rsid w:val="05B44CC5"/>
    <w:rsid w:val="05BE1FE7"/>
    <w:rsid w:val="05C50C80"/>
    <w:rsid w:val="05C55124"/>
    <w:rsid w:val="05DE0AE0"/>
    <w:rsid w:val="05E03D0C"/>
    <w:rsid w:val="062A4F87"/>
    <w:rsid w:val="06622973"/>
    <w:rsid w:val="06640E4B"/>
    <w:rsid w:val="069114AA"/>
    <w:rsid w:val="06A55650"/>
    <w:rsid w:val="06AB431A"/>
    <w:rsid w:val="06B70F10"/>
    <w:rsid w:val="06D01FD2"/>
    <w:rsid w:val="06D51397"/>
    <w:rsid w:val="06DF2215"/>
    <w:rsid w:val="070018D7"/>
    <w:rsid w:val="07060306"/>
    <w:rsid w:val="07445F3B"/>
    <w:rsid w:val="075612B2"/>
    <w:rsid w:val="079254DA"/>
    <w:rsid w:val="079A613C"/>
    <w:rsid w:val="07CE7162"/>
    <w:rsid w:val="081734D3"/>
    <w:rsid w:val="084A5DB4"/>
    <w:rsid w:val="084F5307"/>
    <w:rsid w:val="08534C69"/>
    <w:rsid w:val="086329D2"/>
    <w:rsid w:val="08C571E9"/>
    <w:rsid w:val="090B10A0"/>
    <w:rsid w:val="09150170"/>
    <w:rsid w:val="09646A02"/>
    <w:rsid w:val="0966277A"/>
    <w:rsid w:val="097B739A"/>
    <w:rsid w:val="09842C00"/>
    <w:rsid w:val="09854CF1"/>
    <w:rsid w:val="098A46BA"/>
    <w:rsid w:val="09B1630C"/>
    <w:rsid w:val="0A0855DF"/>
    <w:rsid w:val="0A1421D6"/>
    <w:rsid w:val="0A301518"/>
    <w:rsid w:val="0A3665F0"/>
    <w:rsid w:val="0A432ABB"/>
    <w:rsid w:val="0A516F86"/>
    <w:rsid w:val="0A80786B"/>
    <w:rsid w:val="0B536D2E"/>
    <w:rsid w:val="0BC00F03"/>
    <w:rsid w:val="0BC1013B"/>
    <w:rsid w:val="0C122745"/>
    <w:rsid w:val="0C8223B5"/>
    <w:rsid w:val="0C962A61"/>
    <w:rsid w:val="0CB90E13"/>
    <w:rsid w:val="0CDA7707"/>
    <w:rsid w:val="0CE51C08"/>
    <w:rsid w:val="0CF84031"/>
    <w:rsid w:val="0D18022F"/>
    <w:rsid w:val="0D2F5F29"/>
    <w:rsid w:val="0D314E5A"/>
    <w:rsid w:val="0D5F19BA"/>
    <w:rsid w:val="0DEF683C"/>
    <w:rsid w:val="0E114374"/>
    <w:rsid w:val="0E1F1149"/>
    <w:rsid w:val="0E230C39"/>
    <w:rsid w:val="0E536F6F"/>
    <w:rsid w:val="0E6331E7"/>
    <w:rsid w:val="0E6A4ABA"/>
    <w:rsid w:val="0E6D45AA"/>
    <w:rsid w:val="0EA55AF2"/>
    <w:rsid w:val="0EA646CE"/>
    <w:rsid w:val="0EA77ABC"/>
    <w:rsid w:val="0EAE0E4B"/>
    <w:rsid w:val="0EBC4311"/>
    <w:rsid w:val="0EF12AE6"/>
    <w:rsid w:val="0F223BEA"/>
    <w:rsid w:val="0F3E0510"/>
    <w:rsid w:val="0F8B2F3A"/>
    <w:rsid w:val="0F8C6CB2"/>
    <w:rsid w:val="0F900551"/>
    <w:rsid w:val="0FF73A79"/>
    <w:rsid w:val="0FF87EA4"/>
    <w:rsid w:val="109B53FF"/>
    <w:rsid w:val="10A02A15"/>
    <w:rsid w:val="10C04E65"/>
    <w:rsid w:val="10F845FF"/>
    <w:rsid w:val="1102722C"/>
    <w:rsid w:val="110F4586"/>
    <w:rsid w:val="115865B0"/>
    <w:rsid w:val="116577BB"/>
    <w:rsid w:val="11673533"/>
    <w:rsid w:val="11895257"/>
    <w:rsid w:val="118B5DC3"/>
    <w:rsid w:val="118C4D48"/>
    <w:rsid w:val="11BF6ECB"/>
    <w:rsid w:val="11E22BBA"/>
    <w:rsid w:val="11E701D0"/>
    <w:rsid w:val="11EE77B0"/>
    <w:rsid w:val="121417BD"/>
    <w:rsid w:val="122E4051"/>
    <w:rsid w:val="1230601B"/>
    <w:rsid w:val="1264592D"/>
    <w:rsid w:val="12717B98"/>
    <w:rsid w:val="12C65BDC"/>
    <w:rsid w:val="12EB6019"/>
    <w:rsid w:val="131A4D2F"/>
    <w:rsid w:val="133E6515"/>
    <w:rsid w:val="134B37D9"/>
    <w:rsid w:val="134D0507"/>
    <w:rsid w:val="13631AD8"/>
    <w:rsid w:val="13705AE8"/>
    <w:rsid w:val="13833F28"/>
    <w:rsid w:val="138E4DA7"/>
    <w:rsid w:val="13D50C28"/>
    <w:rsid w:val="13D84274"/>
    <w:rsid w:val="13DF3855"/>
    <w:rsid w:val="13F64CDA"/>
    <w:rsid w:val="14551814"/>
    <w:rsid w:val="147E306D"/>
    <w:rsid w:val="14BE790E"/>
    <w:rsid w:val="152A714D"/>
    <w:rsid w:val="15344AB2"/>
    <w:rsid w:val="155D7127"/>
    <w:rsid w:val="15AE7982"/>
    <w:rsid w:val="15B11221"/>
    <w:rsid w:val="15BA6327"/>
    <w:rsid w:val="15C50828"/>
    <w:rsid w:val="15C8242D"/>
    <w:rsid w:val="15F80BFE"/>
    <w:rsid w:val="160A4940"/>
    <w:rsid w:val="16335666"/>
    <w:rsid w:val="165327F6"/>
    <w:rsid w:val="16897AA8"/>
    <w:rsid w:val="16924BAE"/>
    <w:rsid w:val="16AB5C70"/>
    <w:rsid w:val="16AD7C3A"/>
    <w:rsid w:val="16C76D8E"/>
    <w:rsid w:val="16D9120B"/>
    <w:rsid w:val="16FA2753"/>
    <w:rsid w:val="170830C2"/>
    <w:rsid w:val="173C0FBE"/>
    <w:rsid w:val="176F6C9D"/>
    <w:rsid w:val="17797B1C"/>
    <w:rsid w:val="179901BE"/>
    <w:rsid w:val="179E5F3A"/>
    <w:rsid w:val="17B35C9A"/>
    <w:rsid w:val="180E1588"/>
    <w:rsid w:val="185D2F9A"/>
    <w:rsid w:val="18626802"/>
    <w:rsid w:val="189E3CDE"/>
    <w:rsid w:val="18AE7C99"/>
    <w:rsid w:val="18C9062F"/>
    <w:rsid w:val="18DF60A5"/>
    <w:rsid w:val="18F57103"/>
    <w:rsid w:val="18FA2EDF"/>
    <w:rsid w:val="1910625E"/>
    <w:rsid w:val="19115562"/>
    <w:rsid w:val="191926D7"/>
    <w:rsid w:val="195919B3"/>
    <w:rsid w:val="19687E48"/>
    <w:rsid w:val="1988418C"/>
    <w:rsid w:val="19A30E80"/>
    <w:rsid w:val="19A72968"/>
    <w:rsid w:val="19A75E26"/>
    <w:rsid w:val="19AA220F"/>
    <w:rsid w:val="19E228CE"/>
    <w:rsid w:val="19E7265C"/>
    <w:rsid w:val="19E83778"/>
    <w:rsid w:val="1A2024D1"/>
    <w:rsid w:val="1A275E1A"/>
    <w:rsid w:val="1AFD2812"/>
    <w:rsid w:val="1AFF47DC"/>
    <w:rsid w:val="1B083691"/>
    <w:rsid w:val="1B4548E5"/>
    <w:rsid w:val="1B610FF3"/>
    <w:rsid w:val="1B6B1E72"/>
    <w:rsid w:val="1B8459DF"/>
    <w:rsid w:val="1BB83309"/>
    <w:rsid w:val="1BCF2401"/>
    <w:rsid w:val="1BF400B9"/>
    <w:rsid w:val="1C330D81"/>
    <w:rsid w:val="1C4032FE"/>
    <w:rsid w:val="1C5E5533"/>
    <w:rsid w:val="1C7F5BD5"/>
    <w:rsid w:val="1C980A44"/>
    <w:rsid w:val="1CB12627"/>
    <w:rsid w:val="1CF87735"/>
    <w:rsid w:val="1D3764AF"/>
    <w:rsid w:val="1D434627"/>
    <w:rsid w:val="1D5254AA"/>
    <w:rsid w:val="1D547061"/>
    <w:rsid w:val="1D7D701F"/>
    <w:rsid w:val="1D94745E"/>
    <w:rsid w:val="1DD205FF"/>
    <w:rsid w:val="1DEB1048"/>
    <w:rsid w:val="1E162569"/>
    <w:rsid w:val="1E171E3D"/>
    <w:rsid w:val="1E1D38F7"/>
    <w:rsid w:val="1E301F4B"/>
    <w:rsid w:val="1E390005"/>
    <w:rsid w:val="1E630D35"/>
    <w:rsid w:val="1E766E25"/>
    <w:rsid w:val="1E815C99"/>
    <w:rsid w:val="1F0B7BF4"/>
    <w:rsid w:val="1F372797"/>
    <w:rsid w:val="1F5907F1"/>
    <w:rsid w:val="1F6B68E4"/>
    <w:rsid w:val="1F7A2683"/>
    <w:rsid w:val="1F8B663F"/>
    <w:rsid w:val="1F9D55BF"/>
    <w:rsid w:val="1FF00B97"/>
    <w:rsid w:val="20315438"/>
    <w:rsid w:val="203B1E13"/>
    <w:rsid w:val="20456913"/>
    <w:rsid w:val="2059498F"/>
    <w:rsid w:val="206B5AEB"/>
    <w:rsid w:val="20AC0F62"/>
    <w:rsid w:val="20B66BBF"/>
    <w:rsid w:val="20BB2520"/>
    <w:rsid w:val="20DA787E"/>
    <w:rsid w:val="21117017"/>
    <w:rsid w:val="211762CF"/>
    <w:rsid w:val="21273439"/>
    <w:rsid w:val="2129610F"/>
    <w:rsid w:val="2152696C"/>
    <w:rsid w:val="216F5C3A"/>
    <w:rsid w:val="21A34113"/>
    <w:rsid w:val="21A41C3A"/>
    <w:rsid w:val="21A722AC"/>
    <w:rsid w:val="21C978F2"/>
    <w:rsid w:val="21E93AF0"/>
    <w:rsid w:val="222C176B"/>
    <w:rsid w:val="224F29CB"/>
    <w:rsid w:val="22943A5C"/>
    <w:rsid w:val="22AF0896"/>
    <w:rsid w:val="22B61C24"/>
    <w:rsid w:val="22B6247E"/>
    <w:rsid w:val="22B91715"/>
    <w:rsid w:val="22C00CF5"/>
    <w:rsid w:val="22D14CB0"/>
    <w:rsid w:val="22F4099F"/>
    <w:rsid w:val="22F97D63"/>
    <w:rsid w:val="231057D9"/>
    <w:rsid w:val="23227153"/>
    <w:rsid w:val="234436D4"/>
    <w:rsid w:val="238C6E29"/>
    <w:rsid w:val="23EA6F56"/>
    <w:rsid w:val="23EE5289"/>
    <w:rsid w:val="23FC5D5D"/>
    <w:rsid w:val="241430A6"/>
    <w:rsid w:val="2435301D"/>
    <w:rsid w:val="24450868"/>
    <w:rsid w:val="246833F2"/>
    <w:rsid w:val="247934AE"/>
    <w:rsid w:val="249B5576"/>
    <w:rsid w:val="24E2523E"/>
    <w:rsid w:val="24F759A5"/>
    <w:rsid w:val="250A7D30"/>
    <w:rsid w:val="25777D91"/>
    <w:rsid w:val="2580476C"/>
    <w:rsid w:val="259375E3"/>
    <w:rsid w:val="259B403D"/>
    <w:rsid w:val="25A0381A"/>
    <w:rsid w:val="25EE7927"/>
    <w:rsid w:val="25F0369F"/>
    <w:rsid w:val="26321BDB"/>
    <w:rsid w:val="2637307C"/>
    <w:rsid w:val="264A284C"/>
    <w:rsid w:val="266950EE"/>
    <w:rsid w:val="267E061F"/>
    <w:rsid w:val="26CC5EBA"/>
    <w:rsid w:val="26CD1C32"/>
    <w:rsid w:val="26DC6A23"/>
    <w:rsid w:val="26DF59A2"/>
    <w:rsid w:val="27127645"/>
    <w:rsid w:val="273B0F87"/>
    <w:rsid w:val="273E043A"/>
    <w:rsid w:val="275B2D9A"/>
    <w:rsid w:val="27651E6B"/>
    <w:rsid w:val="276A122F"/>
    <w:rsid w:val="278E13C2"/>
    <w:rsid w:val="27BC5F2F"/>
    <w:rsid w:val="27DB1365"/>
    <w:rsid w:val="27EB05C2"/>
    <w:rsid w:val="27F056C8"/>
    <w:rsid w:val="280815B4"/>
    <w:rsid w:val="285364B4"/>
    <w:rsid w:val="285919D0"/>
    <w:rsid w:val="286A72A5"/>
    <w:rsid w:val="28EC45F2"/>
    <w:rsid w:val="29064F88"/>
    <w:rsid w:val="293146FB"/>
    <w:rsid w:val="295977AD"/>
    <w:rsid w:val="29CC7F7F"/>
    <w:rsid w:val="29D357B2"/>
    <w:rsid w:val="29DD2127"/>
    <w:rsid w:val="29FF77DC"/>
    <w:rsid w:val="2A0911D4"/>
    <w:rsid w:val="2A244078"/>
    <w:rsid w:val="2A2E0C3A"/>
    <w:rsid w:val="2A30050E"/>
    <w:rsid w:val="2A585CB7"/>
    <w:rsid w:val="2A7C7CFB"/>
    <w:rsid w:val="2A8D2F46"/>
    <w:rsid w:val="2ACA7EA3"/>
    <w:rsid w:val="2AD34DCA"/>
    <w:rsid w:val="2AD90BA6"/>
    <w:rsid w:val="2B0A371C"/>
    <w:rsid w:val="2B0D4CF3"/>
    <w:rsid w:val="2B146082"/>
    <w:rsid w:val="2B2D0EF2"/>
    <w:rsid w:val="2B5446D0"/>
    <w:rsid w:val="2B685C6B"/>
    <w:rsid w:val="2BC45D8C"/>
    <w:rsid w:val="2BF4607D"/>
    <w:rsid w:val="2C11436F"/>
    <w:rsid w:val="2C2E1B2B"/>
    <w:rsid w:val="2C472487"/>
    <w:rsid w:val="2C4B5AD3"/>
    <w:rsid w:val="2C564223"/>
    <w:rsid w:val="2C7212B2"/>
    <w:rsid w:val="2CDD1502"/>
    <w:rsid w:val="2CDE0708"/>
    <w:rsid w:val="2CDE5C39"/>
    <w:rsid w:val="2CE30EA6"/>
    <w:rsid w:val="2CEE5C6A"/>
    <w:rsid w:val="2D03015C"/>
    <w:rsid w:val="2D2D342B"/>
    <w:rsid w:val="2D365274"/>
    <w:rsid w:val="2D70417B"/>
    <w:rsid w:val="2D7C3A6A"/>
    <w:rsid w:val="2DB86983"/>
    <w:rsid w:val="2DE0224B"/>
    <w:rsid w:val="2E5D1AEE"/>
    <w:rsid w:val="2E8B0409"/>
    <w:rsid w:val="2E9774DC"/>
    <w:rsid w:val="2E9D1EEA"/>
    <w:rsid w:val="2EAE691B"/>
    <w:rsid w:val="2EB445BE"/>
    <w:rsid w:val="2EC85E66"/>
    <w:rsid w:val="2EC90F31"/>
    <w:rsid w:val="2ED27DE6"/>
    <w:rsid w:val="2EE45BBD"/>
    <w:rsid w:val="2F2919D0"/>
    <w:rsid w:val="2F561E2A"/>
    <w:rsid w:val="2F5F747F"/>
    <w:rsid w:val="2F6D140E"/>
    <w:rsid w:val="2F7544C2"/>
    <w:rsid w:val="2F805A94"/>
    <w:rsid w:val="2FC736C3"/>
    <w:rsid w:val="2FEA115F"/>
    <w:rsid w:val="30121C39"/>
    <w:rsid w:val="30932374"/>
    <w:rsid w:val="30933502"/>
    <w:rsid w:val="30B33C47"/>
    <w:rsid w:val="30BF25EC"/>
    <w:rsid w:val="30C9346B"/>
    <w:rsid w:val="30E20088"/>
    <w:rsid w:val="30ED53AB"/>
    <w:rsid w:val="311E5564"/>
    <w:rsid w:val="31230DCD"/>
    <w:rsid w:val="31271F3F"/>
    <w:rsid w:val="31384310"/>
    <w:rsid w:val="31504A7F"/>
    <w:rsid w:val="317251C4"/>
    <w:rsid w:val="31886E82"/>
    <w:rsid w:val="318F5B9F"/>
    <w:rsid w:val="319265E4"/>
    <w:rsid w:val="31B152B7"/>
    <w:rsid w:val="31E549A1"/>
    <w:rsid w:val="31F63D56"/>
    <w:rsid w:val="321B1AA4"/>
    <w:rsid w:val="321B3190"/>
    <w:rsid w:val="322E4844"/>
    <w:rsid w:val="3245562A"/>
    <w:rsid w:val="32626DAF"/>
    <w:rsid w:val="326C67A3"/>
    <w:rsid w:val="32E20814"/>
    <w:rsid w:val="32E71C05"/>
    <w:rsid w:val="32F43417"/>
    <w:rsid w:val="33291F9F"/>
    <w:rsid w:val="333346E1"/>
    <w:rsid w:val="33550FE6"/>
    <w:rsid w:val="337E7F0B"/>
    <w:rsid w:val="33CC4D2F"/>
    <w:rsid w:val="33CC5AB8"/>
    <w:rsid w:val="33E32A95"/>
    <w:rsid w:val="341B222F"/>
    <w:rsid w:val="342F3231"/>
    <w:rsid w:val="34570B55"/>
    <w:rsid w:val="348558FB"/>
    <w:rsid w:val="34B166F0"/>
    <w:rsid w:val="34F753D3"/>
    <w:rsid w:val="351039CC"/>
    <w:rsid w:val="35213875"/>
    <w:rsid w:val="35731BF7"/>
    <w:rsid w:val="357A4D33"/>
    <w:rsid w:val="35B35E83"/>
    <w:rsid w:val="35D501BC"/>
    <w:rsid w:val="360D5BA8"/>
    <w:rsid w:val="360F36CE"/>
    <w:rsid w:val="36315D3A"/>
    <w:rsid w:val="364C2B74"/>
    <w:rsid w:val="36AA1648"/>
    <w:rsid w:val="36DA0180"/>
    <w:rsid w:val="36E52680"/>
    <w:rsid w:val="37160A8C"/>
    <w:rsid w:val="371F5B92"/>
    <w:rsid w:val="37517D16"/>
    <w:rsid w:val="375803E9"/>
    <w:rsid w:val="37585548"/>
    <w:rsid w:val="377F2AD5"/>
    <w:rsid w:val="37A662B4"/>
    <w:rsid w:val="38122BC7"/>
    <w:rsid w:val="38232AA8"/>
    <w:rsid w:val="38463853"/>
    <w:rsid w:val="385E093C"/>
    <w:rsid w:val="385F684F"/>
    <w:rsid w:val="38991974"/>
    <w:rsid w:val="38A079D0"/>
    <w:rsid w:val="38A20573"/>
    <w:rsid w:val="38B236DA"/>
    <w:rsid w:val="38C20ECB"/>
    <w:rsid w:val="38DF7CCF"/>
    <w:rsid w:val="38F60B75"/>
    <w:rsid w:val="39123BB1"/>
    <w:rsid w:val="392D3149"/>
    <w:rsid w:val="393D2C48"/>
    <w:rsid w:val="394C4C39"/>
    <w:rsid w:val="394E09B1"/>
    <w:rsid w:val="398E34A3"/>
    <w:rsid w:val="39A9208B"/>
    <w:rsid w:val="39B12CEE"/>
    <w:rsid w:val="39C27D9B"/>
    <w:rsid w:val="39FD2A94"/>
    <w:rsid w:val="3A10210A"/>
    <w:rsid w:val="3A606BEE"/>
    <w:rsid w:val="3A6B7341"/>
    <w:rsid w:val="3A750F66"/>
    <w:rsid w:val="3A8C52D1"/>
    <w:rsid w:val="3A96500E"/>
    <w:rsid w:val="3AA54601"/>
    <w:rsid w:val="3AB07883"/>
    <w:rsid w:val="3ABC7B9C"/>
    <w:rsid w:val="3AD1189A"/>
    <w:rsid w:val="3ADB44C6"/>
    <w:rsid w:val="3AE55345"/>
    <w:rsid w:val="3AE92EAF"/>
    <w:rsid w:val="3B4C7172"/>
    <w:rsid w:val="3B551DDF"/>
    <w:rsid w:val="3B620744"/>
    <w:rsid w:val="3BBC0723"/>
    <w:rsid w:val="3BCE7B87"/>
    <w:rsid w:val="3BE376CF"/>
    <w:rsid w:val="3C110A75"/>
    <w:rsid w:val="3C3B1252"/>
    <w:rsid w:val="3CA1704A"/>
    <w:rsid w:val="3CA44C4B"/>
    <w:rsid w:val="3CC50F8A"/>
    <w:rsid w:val="3D0F2205"/>
    <w:rsid w:val="3D121CF5"/>
    <w:rsid w:val="3D2A34E3"/>
    <w:rsid w:val="3D2E6F07"/>
    <w:rsid w:val="3D3D6D72"/>
    <w:rsid w:val="3D670293"/>
    <w:rsid w:val="3D7F55DD"/>
    <w:rsid w:val="3D9A641E"/>
    <w:rsid w:val="3DA23079"/>
    <w:rsid w:val="3DB97A86"/>
    <w:rsid w:val="3DBB413B"/>
    <w:rsid w:val="3DBEEB42"/>
    <w:rsid w:val="3E1C72D0"/>
    <w:rsid w:val="3E3E7246"/>
    <w:rsid w:val="3E4C77AF"/>
    <w:rsid w:val="3E5450C0"/>
    <w:rsid w:val="3E5C40E8"/>
    <w:rsid w:val="3E7710BD"/>
    <w:rsid w:val="3E810EE1"/>
    <w:rsid w:val="3E8409D1"/>
    <w:rsid w:val="3EAD617A"/>
    <w:rsid w:val="3EBF3EF4"/>
    <w:rsid w:val="3EEC6CA2"/>
    <w:rsid w:val="3EEF0540"/>
    <w:rsid w:val="3F255D10"/>
    <w:rsid w:val="3F3B5533"/>
    <w:rsid w:val="3F5D194E"/>
    <w:rsid w:val="3F6C393F"/>
    <w:rsid w:val="3F9FF92A"/>
    <w:rsid w:val="3FAA57D9"/>
    <w:rsid w:val="3FB70A6D"/>
    <w:rsid w:val="3FDD483D"/>
    <w:rsid w:val="3FF35E0E"/>
    <w:rsid w:val="3FF81D61"/>
    <w:rsid w:val="402A69BE"/>
    <w:rsid w:val="40385F17"/>
    <w:rsid w:val="4047615A"/>
    <w:rsid w:val="407C5E04"/>
    <w:rsid w:val="4093314D"/>
    <w:rsid w:val="40E62FD0"/>
    <w:rsid w:val="41061B71"/>
    <w:rsid w:val="41087697"/>
    <w:rsid w:val="41683412"/>
    <w:rsid w:val="416C40CA"/>
    <w:rsid w:val="41BF069E"/>
    <w:rsid w:val="420A5691"/>
    <w:rsid w:val="42176A6B"/>
    <w:rsid w:val="422229DB"/>
    <w:rsid w:val="42412782"/>
    <w:rsid w:val="424930DA"/>
    <w:rsid w:val="42731488"/>
    <w:rsid w:val="4278084D"/>
    <w:rsid w:val="4292494E"/>
    <w:rsid w:val="42C9063E"/>
    <w:rsid w:val="42CA2778"/>
    <w:rsid w:val="43140575"/>
    <w:rsid w:val="43293F6C"/>
    <w:rsid w:val="432A7D99"/>
    <w:rsid w:val="43324E9F"/>
    <w:rsid w:val="434075BC"/>
    <w:rsid w:val="43476B9D"/>
    <w:rsid w:val="43B63205"/>
    <w:rsid w:val="43BB6C43"/>
    <w:rsid w:val="43D83C99"/>
    <w:rsid w:val="440A7BCA"/>
    <w:rsid w:val="44167FAE"/>
    <w:rsid w:val="44780FD8"/>
    <w:rsid w:val="448A5ACA"/>
    <w:rsid w:val="44957494"/>
    <w:rsid w:val="44CC52C8"/>
    <w:rsid w:val="44FF0DB1"/>
    <w:rsid w:val="450A60D4"/>
    <w:rsid w:val="451A3E3D"/>
    <w:rsid w:val="453A255B"/>
    <w:rsid w:val="45725A27"/>
    <w:rsid w:val="45EA7CB3"/>
    <w:rsid w:val="45F24609"/>
    <w:rsid w:val="46102858"/>
    <w:rsid w:val="465D17D9"/>
    <w:rsid w:val="466219DB"/>
    <w:rsid w:val="466E2AD4"/>
    <w:rsid w:val="46963997"/>
    <w:rsid w:val="46B1432D"/>
    <w:rsid w:val="46C2601D"/>
    <w:rsid w:val="46CC565F"/>
    <w:rsid w:val="46D85D5E"/>
    <w:rsid w:val="46E171E6"/>
    <w:rsid w:val="46F07114"/>
    <w:rsid w:val="473A2575"/>
    <w:rsid w:val="473C62ED"/>
    <w:rsid w:val="473D5997"/>
    <w:rsid w:val="47983DB5"/>
    <w:rsid w:val="47AC3472"/>
    <w:rsid w:val="47E81FD1"/>
    <w:rsid w:val="47F72214"/>
    <w:rsid w:val="482F5E51"/>
    <w:rsid w:val="485F6737"/>
    <w:rsid w:val="48645AFB"/>
    <w:rsid w:val="487D6C4D"/>
    <w:rsid w:val="493A2D00"/>
    <w:rsid w:val="494B2817"/>
    <w:rsid w:val="49647786"/>
    <w:rsid w:val="497A75A0"/>
    <w:rsid w:val="49975A5C"/>
    <w:rsid w:val="49D46CB0"/>
    <w:rsid w:val="49EC33D0"/>
    <w:rsid w:val="4A0B1FA6"/>
    <w:rsid w:val="4A3F3BEF"/>
    <w:rsid w:val="4A606796"/>
    <w:rsid w:val="4A633B90"/>
    <w:rsid w:val="4A6D0ED4"/>
    <w:rsid w:val="4AC76815"/>
    <w:rsid w:val="4AC97E97"/>
    <w:rsid w:val="4AE616BF"/>
    <w:rsid w:val="4AFC64BF"/>
    <w:rsid w:val="4B5931BA"/>
    <w:rsid w:val="4B614574"/>
    <w:rsid w:val="4B663938"/>
    <w:rsid w:val="4B6776B0"/>
    <w:rsid w:val="4B7613D3"/>
    <w:rsid w:val="4B7661E4"/>
    <w:rsid w:val="4B813CEC"/>
    <w:rsid w:val="4B8D5369"/>
    <w:rsid w:val="4BCD7E5B"/>
    <w:rsid w:val="4BD25472"/>
    <w:rsid w:val="4BF16EEB"/>
    <w:rsid w:val="4BF453E8"/>
    <w:rsid w:val="4C22506F"/>
    <w:rsid w:val="4C2832E3"/>
    <w:rsid w:val="4C2B6930"/>
    <w:rsid w:val="4C310890"/>
    <w:rsid w:val="4C6A62D1"/>
    <w:rsid w:val="4C793B3F"/>
    <w:rsid w:val="4C79769B"/>
    <w:rsid w:val="4C87000A"/>
    <w:rsid w:val="4C891FD4"/>
    <w:rsid w:val="4CA20757"/>
    <w:rsid w:val="4CCA439B"/>
    <w:rsid w:val="4CDC567C"/>
    <w:rsid w:val="4CF55215"/>
    <w:rsid w:val="4D1B0752"/>
    <w:rsid w:val="4D4B54DB"/>
    <w:rsid w:val="4D4C4DB0"/>
    <w:rsid w:val="4D8F3534"/>
    <w:rsid w:val="4DB43081"/>
    <w:rsid w:val="4DC1754C"/>
    <w:rsid w:val="4DDA72CC"/>
    <w:rsid w:val="4DF47921"/>
    <w:rsid w:val="4E116CCD"/>
    <w:rsid w:val="4E433DCD"/>
    <w:rsid w:val="4E4446C6"/>
    <w:rsid w:val="4EAC3D58"/>
    <w:rsid w:val="4EC015B1"/>
    <w:rsid w:val="4EC5306C"/>
    <w:rsid w:val="4EF342DE"/>
    <w:rsid w:val="4F293C72"/>
    <w:rsid w:val="4F416B96"/>
    <w:rsid w:val="4F4F0B87"/>
    <w:rsid w:val="4F5166AD"/>
    <w:rsid w:val="4F5543EF"/>
    <w:rsid w:val="4F5F701C"/>
    <w:rsid w:val="4F6E3703"/>
    <w:rsid w:val="4FB437DA"/>
    <w:rsid w:val="4FDA25E1"/>
    <w:rsid w:val="4FF7643A"/>
    <w:rsid w:val="50E772C9"/>
    <w:rsid w:val="511849BF"/>
    <w:rsid w:val="51555CFD"/>
    <w:rsid w:val="51861C76"/>
    <w:rsid w:val="519D5BDA"/>
    <w:rsid w:val="51A90892"/>
    <w:rsid w:val="51C63383"/>
    <w:rsid w:val="520B689C"/>
    <w:rsid w:val="52495D62"/>
    <w:rsid w:val="52514B8F"/>
    <w:rsid w:val="52554706"/>
    <w:rsid w:val="52582B63"/>
    <w:rsid w:val="5274104A"/>
    <w:rsid w:val="528D540E"/>
    <w:rsid w:val="529C0587"/>
    <w:rsid w:val="52B14033"/>
    <w:rsid w:val="52BE405A"/>
    <w:rsid w:val="52CB49C9"/>
    <w:rsid w:val="52CC72DE"/>
    <w:rsid w:val="52E53041"/>
    <w:rsid w:val="53051C89"/>
    <w:rsid w:val="530C1269"/>
    <w:rsid w:val="53163C4B"/>
    <w:rsid w:val="534A3B3F"/>
    <w:rsid w:val="535624E4"/>
    <w:rsid w:val="53927EB5"/>
    <w:rsid w:val="53B042EA"/>
    <w:rsid w:val="53C953AC"/>
    <w:rsid w:val="53D17DBD"/>
    <w:rsid w:val="53EC1861"/>
    <w:rsid w:val="544C3F3D"/>
    <w:rsid w:val="545033D7"/>
    <w:rsid w:val="54534C76"/>
    <w:rsid w:val="548D462B"/>
    <w:rsid w:val="549D2EF3"/>
    <w:rsid w:val="54AB5886"/>
    <w:rsid w:val="54C35BEC"/>
    <w:rsid w:val="54E81862"/>
    <w:rsid w:val="54F94081"/>
    <w:rsid w:val="554967A4"/>
    <w:rsid w:val="55563FB8"/>
    <w:rsid w:val="559E0172"/>
    <w:rsid w:val="559F33DB"/>
    <w:rsid w:val="55C27722"/>
    <w:rsid w:val="560F537A"/>
    <w:rsid w:val="56431446"/>
    <w:rsid w:val="56570A4D"/>
    <w:rsid w:val="566C774E"/>
    <w:rsid w:val="56C8194B"/>
    <w:rsid w:val="572B3928"/>
    <w:rsid w:val="57596A47"/>
    <w:rsid w:val="57720C71"/>
    <w:rsid w:val="57833232"/>
    <w:rsid w:val="579706B0"/>
    <w:rsid w:val="57DD7AEF"/>
    <w:rsid w:val="57E3660A"/>
    <w:rsid w:val="57EF4CB5"/>
    <w:rsid w:val="57F624E8"/>
    <w:rsid w:val="57FE314A"/>
    <w:rsid w:val="58156E12"/>
    <w:rsid w:val="584B0218"/>
    <w:rsid w:val="585F008D"/>
    <w:rsid w:val="586438F5"/>
    <w:rsid w:val="58913FBE"/>
    <w:rsid w:val="58BF6D7E"/>
    <w:rsid w:val="58DF2F7C"/>
    <w:rsid w:val="59034EBC"/>
    <w:rsid w:val="590F1AB3"/>
    <w:rsid w:val="5921119F"/>
    <w:rsid w:val="5939268C"/>
    <w:rsid w:val="59610256"/>
    <w:rsid w:val="598C197E"/>
    <w:rsid w:val="599C0E6D"/>
    <w:rsid w:val="59AC7242"/>
    <w:rsid w:val="59EF3692"/>
    <w:rsid w:val="59F36CDF"/>
    <w:rsid w:val="5A221372"/>
    <w:rsid w:val="5A581238"/>
    <w:rsid w:val="5A626832"/>
    <w:rsid w:val="5A90452E"/>
    <w:rsid w:val="5AB20948"/>
    <w:rsid w:val="5ABA5A4E"/>
    <w:rsid w:val="5AF34C29"/>
    <w:rsid w:val="5AFD10E3"/>
    <w:rsid w:val="5B05680B"/>
    <w:rsid w:val="5B386973"/>
    <w:rsid w:val="5B597F62"/>
    <w:rsid w:val="5B694D7F"/>
    <w:rsid w:val="5B6E1D39"/>
    <w:rsid w:val="5B742277"/>
    <w:rsid w:val="5B8B2F47"/>
    <w:rsid w:val="5B9A03B8"/>
    <w:rsid w:val="5BC51C5F"/>
    <w:rsid w:val="5C003935"/>
    <w:rsid w:val="5C205D85"/>
    <w:rsid w:val="5C2145DA"/>
    <w:rsid w:val="5C25339C"/>
    <w:rsid w:val="5C855626"/>
    <w:rsid w:val="5C877BB2"/>
    <w:rsid w:val="5C9D4A6D"/>
    <w:rsid w:val="5CAA564F"/>
    <w:rsid w:val="5CCB2E26"/>
    <w:rsid w:val="5D296EBB"/>
    <w:rsid w:val="5D32454F"/>
    <w:rsid w:val="5D3F223B"/>
    <w:rsid w:val="5D63141A"/>
    <w:rsid w:val="5D6B5ED3"/>
    <w:rsid w:val="5DC1089E"/>
    <w:rsid w:val="5DD15589"/>
    <w:rsid w:val="5DE05F59"/>
    <w:rsid w:val="5DE0625C"/>
    <w:rsid w:val="5DED613B"/>
    <w:rsid w:val="5DF9063C"/>
    <w:rsid w:val="5DFC6650"/>
    <w:rsid w:val="5E317DD6"/>
    <w:rsid w:val="5E345B18"/>
    <w:rsid w:val="5E3B6EA6"/>
    <w:rsid w:val="5E4A692D"/>
    <w:rsid w:val="5E68756F"/>
    <w:rsid w:val="5E6E102A"/>
    <w:rsid w:val="5E916397"/>
    <w:rsid w:val="5E9F7435"/>
    <w:rsid w:val="5EF552A7"/>
    <w:rsid w:val="5EF62DCD"/>
    <w:rsid w:val="5F30008D"/>
    <w:rsid w:val="5F37766E"/>
    <w:rsid w:val="5F3A5DCA"/>
    <w:rsid w:val="5F52203D"/>
    <w:rsid w:val="5F7F1015"/>
    <w:rsid w:val="5FAB005C"/>
    <w:rsid w:val="5FB92779"/>
    <w:rsid w:val="5FBA204D"/>
    <w:rsid w:val="5FE5356E"/>
    <w:rsid w:val="600F2399"/>
    <w:rsid w:val="601C6864"/>
    <w:rsid w:val="60357131"/>
    <w:rsid w:val="603D5158"/>
    <w:rsid w:val="6042508C"/>
    <w:rsid w:val="60775A29"/>
    <w:rsid w:val="60C43183"/>
    <w:rsid w:val="60DC704A"/>
    <w:rsid w:val="60EB21D7"/>
    <w:rsid w:val="612E4AA0"/>
    <w:rsid w:val="61452CCF"/>
    <w:rsid w:val="616363F5"/>
    <w:rsid w:val="61641C99"/>
    <w:rsid w:val="618B1EF3"/>
    <w:rsid w:val="61CA1B71"/>
    <w:rsid w:val="61DE0274"/>
    <w:rsid w:val="61F07FA8"/>
    <w:rsid w:val="620B4DE2"/>
    <w:rsid w:val="62141EE8"/>
    <w:rsid w:val="622A2214"/>
    <w:rsid w:val="62612C54"/>
    <w:rsid w:val="626C517F"/>
    <w:rsid w:val="629757DE"/>
    <w:rsid w:val="62B334AF"/>
    <w:rsid w:val="62C14C90"/>
    <w:rsid w:val="62FA7330"/>
    <w:rsid w:val="63092BE9"/>
    <w:rsid w:val="63185A08"/>
    <w:rsid w:val="63254657"/>
    <w:rsid w:val="635602DE"/>
    <w:rsid w:val="635A392B"/>
    <w:rsid w:val="63B07EEF"/>
    <w:rsid w:val="63B95DD5"/>
    <w:rsid w:val="63DC4C88"/>
    <w:rsid w:val="642F3009"/>
    <w:rsid w:val="644C3BBB"/>
    <w:rsid w:val="645B752F"/>
    <w:rsid w:val="645C5AF2"/>
    <w:rsid w:val="64632CB3"/>
    <w:rsid w:val="64654C7D"/>
    <w:rsid w:val="648F1CFA"/>
    <w:rsid w:val="64A15589"/>
    <w:rsid w:val="64B928D3"/>
    <w:rsid w:val="64C25C2B"/>
    <w:rsid w:val="651144BD"/>
    <w:rsid w:val="65387C9C"/>
    <w:rsid w:val="65530F79"/>
    <w:rsid w:val="658630FD"/>
    <w:rsid w:val="6587477F"/>
    <w:rsid w:val="658D0C27"/>
    <w:rsid w:val="6598698C"/>
    <w:rsid w:val="65C21C5B"/>
    <w:rsid w:val="65FD2C93"/>
    <w:rsid w:val="660E452A"/>
    <w:rsid w:val="663029BF"/>
    <w:rsid w:val="66320049"/>
    <w:rsid w:val="663F14FE"/>
    <w:rsid w:val="665C20B0"/>
    <w:rsid w:val="666D1BC7"/>
    <w:rsid w:val="66C20165"/>
    <w:rsid w:val="66C57C55"/>
    <w:rsid w:val="66CA300B"/>
    <w:rsid w:val="66FB5425"/>
    <w:rsid w:val="67582877"/>
    <w:rsid w:val="67A1421E"/>
    <w:rsid w:val="67B51A77"/>
    <w:rsid w:val="67E934CF"/>
    <w:rsid w:val="67FD2BAD"/>
    <w:rsid w:val="680675B4"/>
    <w:rsid w:val="68166D3A"/>
    <w:rsid w:val="68171BE1"/>
    <w:rsid w:val="681816C1"/>
    <w:rsid w:val="681C1AF7"/>
    <w:rsid w:val="6839418E"/>
    <w:rsid w:val="683C7AA3"/>
    <w:rsid w:val="685968A7"/>
    <w:rsid w:val="688D6550"/>
    <w:rsid w:val="69015930"/>
    <w:rsid w:val="69216C99"/>
    <w:rsid w:val="69442C7A"/>
    <w:rsid w:val="695C0FE3"/>
    <w:rsid w:val="69BB5A63"/>
    <w:rsid w:val="69BE2739"/>
    <w:rsid w:val="69F951FB"/>
    <w:rsid w:val="6A0516C0"/>
    <w:rsid w:val="6A05210E"/>
    <w:rsid w:val="6A086DBC"/>
    <w:rsid w:val="6A163A16"/>
    <w:rsid w:val="6A1A7CF2"/>
    <w:rsid w:val="6A2D7FEB"/>
    <w:rsid w:val="6A837C0B"/>
    <w:rsid w:val="6A8D2838"/>
    <w:rsid w:val="6A971908"/>
    <w:rsid w:val="6AB53B3C"/>
    <w:rsid w:val="6ABE6E95"/>
    <w:rsid w:val="6ABF547A"/>
    <w:rsid w:val="6AD14E1A"/>
    <w:rsid w:val="6AEC5DB3"/>
    <w:rsid w:val="6B076001"/>
    <w:rsid w:val="6B0F76F1"/>
    <w:rsid w:val="6B120F8F"/>
    <w:rsid w:val="6B264A3A"/>
    <w:rsid w:val="6B3233DF"/>
    <w:rsid w:val="6B362ECF"/>
    <w:rsid w:val="6B4E3086"/>
    <w:rsid w:val="6B713F07"/>
    <w:rsid w:val="6B7F0C0D"/>
    <w:rsid w:val="6B8359E9"/>
    <w:rsid w:val="6BB362CE"/>
    <w:rsid w:val="6BCC55E2"/>
    <w:rsid w:val="6BD12BF8"/>
    <w:rsid w:val="6BDD159D"/>
    <w:rsid w:val="6BF37833"/>
    <w:rsid w:val="6BF40694"/>
    <w:rsid w:val="6BF71434"/>
    <w:rsid w:val="6C141DA6"/>
    <w:rsid w:val="6C1F406E"/>
    <w:rsid w:val="6C4B29AA"/>
    <w:rsid w:val="6C67530A"/>
    <w:rsid w:val="6CB0280D"/>
    <w:rsid w:val="6CC4450B"/>
    <w:rsid w:val="6CE93F71"/>
    <w:rsid w:val="6CEB7CE9"/>
    <w:rsid w:val="6CEF9279"/>
    <w:rsid w:val="6D0B205B"/>
    <w:rsid w:val="6D0E38A3"/>
    <w:rsid w:val="6D372F2F"/>
    <w:rsid w:val="6D5E495F"/>
    <w:rsid w:val="6D6F26C8"/>
    <w:rsid w:val="6D86469A"/>
    <w:rsid w:val="6DAA54AF"/>
    <w:rsid w:val="6DE541BD"/>
    <w:rsid w:val="6E032E11"/>
    <w:rsid w:val="6E0A23F1"/>
    <w:rsid w:val="6E34121C"/>
    <w:rsid w:val="6E4F6056"/>
    <w:rsid w:val="6E6733A0"/>
    <w:rsid w:val="6EAC0650"/>
    <w:rsid w:val="6EBE0596"/>
    <w:rsid w:val="6EDE7B06"/>
    <w:rsid w:val="6EE36ECA"/>
    <w:rsid w:val="6EFC7F8C"/>
    <w:rsid w:val="6F190B3E"/>
    <w:rsid w:val="6F3D2818"/>
    <w:rsid w:val="6F71619F"/>
    <w:rsid w:val="6F9E1EE0"/>
    <w:rsid w:val="6FC9332F"/>
    <w:rsid w:val="6FE0340A"/>
    <w:rsid w:val="6FE27182"/>
    <w:rsid w:val="70046736"/>
    <w:rsid w:val="700765AD"/>
    <w:rsid w:val="703A5210"/>
    <w:rsid w:val="703E5095"/>
    <w:rsid w:val="70514307"/>
    <w:rsid w:val="708278F0"/>
    <w:rsid w:val="709B2A23"/>
    <w:rsid w:val="70DA3444"/>
    <w:rsid w:val="70FA04FB"/>
    <w:rsid w:val="713042C9"/>
    <w:rsid w:val="7148570A"/>
    <w:rsid w:val="71A556F6"/>
    <w:rsid w:val="71C11019"/>
    <w:rsid w:val="71E52F59"/>
    <w:rsid w:val="71EF202A"/>
    <w:rsid w:val="72021B5A"/>
    <w:rsid w:val="72084DAB"/>
    <w:rsid w:val="72231CD3"/>
    <w:rsid w:val="723D4B43"/>
    <w:rsid w:val="727A7B45"/>
    <w:rsid w:val="727F7BDB"/>
    <w:rsid w:val="72842FF0"/>
    <w:rsid w:val="72912DCE"/>
    <w:rsid w:val="72952BD1"/>
    <w:rsid w:val="72B15531"/>
    <w:rsid w:val="72E17BC5"/>
    <w:rsid w:val="72F40829"/>
    <w:rsid w:val="73357F10"/>
    <w:rsid w:val="737E7688"/>
    <w:rsid w:val="73BE506A"/>
    <w:rsid w:val="73D1197B"/>
    <w:rsid w:val="73D96AEE"/>
    <w:rsid w:val="74065409"/>
    <w:rsid w:val="740873D3"/>
    <w:rsid w:val="740F42BD"/>
    <w:rsid w:val="741B5358"/>
    <w:rsid w:val="74A50214"/>
    <w:rsid w:val="74AE5288"/>
    <w:rsid w:val="74BE296B"/>
    <w:rsid w:val="74F04A56"/>
    <w:rsid w:val="752B58B2"/>
    <w:rsid w:val="752C1FB3"/>
    <w:rsid w:val="75377F70"/>
    <w:rsid w:val="753B0E49"/>
    <w:rsid w:val="75461F61"/>
    <w:rsid w:val="754F71E0"/>
    <w:rsid w:val="75736ACE"/>
    <w:rsid w:val="757545F4"/>
    <w:rsid w:val="758141FF"/>
    <w:rsid w:val="758B7BFD"/>
    <w:rsid w:val="75915985"/>
    <w:rsid w:val="759D0D2C"/>
    <w:rsid w:val="75BC4563"/>
    <w:rsid w:val="75C30D8B"/>
    <w:rsid w:val="75C4732A"/>
    <w:rsid w:val="75D752AF"/>
    <w:rsid w:val="75E308CD"/>
    <w:rsid w:val="75F679AE"/>
    <w:rsid w:val="76374958"/>
    <w:rsid w:val="765D69A2"/>
    <w:rsid w:val="767E572A"/>
    <w:rsid w:val="76880357"/>
    <w:rsid w:val="76A84CD5"/>
    <w:rsid w:val="76B61368"/>
    <w:rsid w:val="76CF1C1E"/>
    <w:rsid w:val="76E24D6B"/>
    <w:rsid w:val="7738246C"/>
    <w:rsid w:val="7738323E"/>
    <w:rsid w:val="774150D6"/>
    <w:rsid w:val="77527177"/>
    <w:rsid w:val="777F6769"/>
    <w:rsid w:val="77813724"/>
    <w:rsid w:val="77817A0B"/>
    <w:rsid w:val="77950F7E"/>
    <w:rsid w:val="77A3590B"/>
    <w:rsid w:val="77C02F58"/>
    <w:rsid w:val="77C71605"/>
    <w:rsid w:val="77D93560"/>
    <w:rsid w:val="77E3618D"/>
    <w:rsid w:val="780F2246"/>
    <w:rsid w:val="783512AF"/>
    <w:rsid w:val="78A51694"/>
    <w:rsid w:val="790C526F"/>
    <w:rsid w:val="791F31F5"/>
    <w:rsid w:val="79752E15"/>
    <w:rsid w:val="797C23F5"/>
    <w:rsid w:val="79C43D9C"/>
    <w:rsid w:val="79C773E8"/>
    <w:rsid w:val="79CA62B1"/>
    <w:rsid w:val="79DE4E5E"/>
    <w:rsid w:val="79EC8A72"/>
    <w:rsid w:val="7A1F656A"/>
    <w:rsid w:val="7A331AAF"/>
    <w:rsid w:val="7A3F3423"/>
    <w:rsid w:val="7A6D4434"/>
    <w:rsid w:val="7A721A4A"/>
    <w:rsid w:val="7A811C8D"/>
    <w:rsid w:val="7A95477F"/>
    <w:rsid w:val="7AE446F6"/>
    <w:rsid w:val="7AEE3291"/>
    <w:rsid w:val="7B1C5DE6"/>
    <w:rsid w:val="7B414CE1"/>
    <w:rsid w:val="7B6E3FBF"/>
    <w:rsid w:val="7BB120FE"/>
    <w:rsid w:val="7BD007D6"/>
    <w:rsid w:val="7BF7E803"/>
    <w:rsid w:val="7C255834"/>
    <w:rsid w:val="7C32323F"/>
    <w:rsid w:val="7C3D3992"/>
    <w:rsid w:val="7C55517F"/>
    <w:rsid w:val="7C694787"/>
    <w:rsid w:val="7C8945A2"/>
    <w:rsid w:val="7C8B0104"/>
    <w:rsid w:val="7D032E2D"/>
    <w:rsid w:val="7D142945"/>
    <w:rsid w:val="7D2C7C8E"/>
    <w:rsid w:val="7D330F52"/>
    <w:rsid w:val="7D3B4375"/>
    <w:rsid w:val="7D3F28BF"/>
    <w:rsid w:val="7D472D1A"/>
    <w:rsid w:val="7D574DB3"/>
    <w:rsid w:val="7D5D078F"/>
    <w:rsid w:val="7D97158A"/>
    <w:rsid w:val="7DCB56F9"/>
    <w:rsid w:val="7DDA2B39"/>
    <w:rsid w:val="7DFD5ACF"/>
    <w:rsid w:val="7E0611B8"/>
    <w:rsid w:val="7E074257"/>
    <w:rsid w:val="7E2C493A"/>
    <w:rsid w:val="7E3C03A5"/>
    <w:rsid w:val="7E5F5E41"/>
    <w:rsid w:val="7E68119A"/>
    <w:rsid w:val="7E835FD4"/>
    <w:rsid w:val="7E8835EA"/>
    <w:rsid w:val="7EB22415"/>
    <w:rsid w:val="7EB415AE"/>
    <w:rsid w:val="7EC37E4E"/>
    <w:rsid w:val="7F1629A4"/>
    <w:rsid w:val="7F4453B2"/>
    <w:rsid w:val="7F89761A"/>
    <w:rsid w:val="7F932247"/>
    <w:rsid w:val="7F945FBF"/>
    <w:rsid w:val="7FA75CF2"/>
    <w:rsid w:val="7FD840FD"/>
    <w:rsid w:val="7FE40CF4"/>
    <w:rsid w:val="C5F24C2F"/>
    <w:rsid w:val="DDAF34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3" w:firstLineChars="200"/>
      <w:jc w:val="both"/>
    </w:pPr>
    <w:rPr>
      <w:rFonts w:ascii="Calibri" w:hAnsi="Calibri" w:eastAsia="仿宋_GB2312" w:cs="Times New Roman"/>
      <w:kern w:val="2"/>
      <w:sz w:val="32"/>
      <w:szCs w:val="24"/>
      <w:lang w:val="en-US" w:eastAsia="zh-CN" w:bidi="ar-SA"/>
    </w:rPr>
  </w:style>
  <w:style w:type="paragraph" w:styleId="2">
    <w:name w:val="heading 1"/>
    <w:basedOn w:val="1"/>
    <w:next w:val="1"/>
    <w:link w:val="51"/>
    <w:qFormat/>
    <w:uiPriority w:val="0"/>
    <w:pPr>
      <w:keepNext/>
      <w:keepLines/>
      <w:numPr>
        <w:ilvl w:val="0"/>
        <w:numId w:val="1"/>
      </w:numPr>
      <w:spacing w:before="340" w:after="330" w:line="576" w:lineRule="auto"/>
      <w:ind w:firstLine="0" w:firstLineChars="0"/>
      <w:outlineLvl w:val="0"/>
    </w:pPr>
    <w:rPr>
      <w:b/>
      <w:kern w:val="44"/>
      <w:sz w:val="44"/>
    </w:rPr>
  </w:style>
  <w:style w:type="paragraph" w:styleId="3">
    <w:name w:val="heading 2"/>
    <w:basedOn w:val="1"/>
    <w:next w:val="4"/>
    <w:link w:val="59"/>
    <w:qFormat/>
    <w:uiPriority w:val="0"/>
    <w:pPr>
      <w:keepNext/>
      <w:keepLines/>
      <w:numPr>
        <w:ilvl w:val="1"/>
        <w:numId w:val="1"/>
      </w:numPr>
      <w:spacing w:before="260" w:after="260" w:line="413" w:lineRule="auto"/>
      <w:ind w:firstLine="0" w:firstLineChars="0"/>
      <w:outlineLvl w:val="1"/>
    </w:pPr>
    <w:rPr>
      <w:rFonts w:ascii="Arial" w:hAnsi="Arial" w:eastAsia="黑体"/>
      <w:b/>
    </w:rPr>
  </w:style>
  <w:style w:type="paragraph" w:styleId="5">
    <w:name w:val="heading 3"/>
    <w:basedOn w:val="1"/>
    <w:next w:val="1"/>
    <w:link w:val="48"/>
    <w:qFormat/>
    <w:uiPriority w:val="0"/>
    <w:pPr>
      <w:keepNext/>
      <w:keepLines/>
      <w:numPr>
        <w:ilvl w:val="2"/>
        <w:numId w:val="1"/>
      </w:numPr>
      <w:adjustRightInd w:val="0"/>
      <w:ind w:firstLine="0" w:firstLineChars="0"/>
      <w:outlineLvl w:val="2"/>
    </w:pPr>
    <w:rPr>
      <w:rFonts w:eastAsia="楷体_GB2312"/>
      <w:b/>
    </w:rPr>
  </w:style>
  <w:style w:type="paragraph" w:styleId="6">
    <w:name w:val="heading 4"/>
    <w:basedOn w:val="1"/>
    <w:next w:val="1"/>
    <w:link w:val="42"/>
    <w:qFormat/>
    <w:uiPriority w:val="0"/>
    <w:pPr>
      <w:keepNext/>
      <w:keepLines/>
      <w:numPr>
        <w:ilvl w:val="3"/>
        <w:numId w:val="1"/>
      </w:numPr>
      <w:spacing w:before="280" w:after="290" w:line="372" w:lineRule="auto"/>
      <w:ind w:firstLine="0" w:firstLineChars="0"/>
      <w:outlineLvl w:val="3"/>
    </w:pPr>
    <w:rPr>
      <w:rFonts w:ascii="Arial" w:hAnsi="Arial" w:eastAsia="楷体_GB2312"/>
      <w:b/>
    </w:rPr>
  </w:style>
  <w:style w:type="paragraph" w:styleId="7">
    <w:name w:val="heading 5"/>
    <w:basedOn w:val="1"/>
    <w:next w:val="1"/>
    <w:link w:val="57"/>
    <w:qFormat/>
    <w:uiPriority w:val="0"/>
    <w:pPr>
      <w:keepNext/>
      <w:keepLines/>
      <w:numPr>
        <w:ilvl w:val="4"/>
        <w:numId w:val="1"/>
      </w:numPr>
      <w:spacing w:before="280" w:after="290" w:line="372" w:lineRule="auto"/>
      <w:ind w:firstLine="0" w:firstLineChars="0"/>
      <w:outlineLvl w:val="4"/>
    </w:pPr>
    <w:rPr>
      <w:b/>
      <w:sz w:val="28"/>
    </w:rPr>
  </w:style>
  <w:style w:type="paragraph" w:styleId="8">
    <w:name w:val="heading 6"/>
    <w:basedOn w:val="1"/>
    <w:next w:val="1"/>
    <w:link w:val="71"/>
    <w:unhideWhenUsed/>
    <w:qFormat/>
    <w:uiPriority w:val="9"/>
    <w:pPr>
      <w:keepNext/>
      <w:keepLines/>
      <w:numPr>
        <w:ilvl w:val="5"/>
        <w:numId w:val="1"/>
      </w:numPr>
      <w:spacing w:before="240" w:after="64" w:line="320" w:lineRule="atLeast"/>
      <w:ind w:firstLine="0" w:firstLineChars="0"/>
      <w:outlineLvl w:val="5"/>
    </w:pPr>
    <w:rPr>
      <w:rFonts w:asciiTheme="majorHAnsi" w:hAnsiTheme="majorHAnsi" w:eastAsiaTheme="majorEastAsia" w:cstheme="majorBidi"/>
      <w:b/>
      <w:bCs/>
      <w:sz w:val="24"/>
    </w:rPr>
  </w:style>
  <w:style w:type="paragraph" w:styleId="9">
    <w:name w:val="heading 7"/>
    <w:basedOn w:val="1"/>
    <w:next w:val="1"/>
    <w:link w:val="70"/>
    <w:unhideWhenUsed/>
    <w:qFormat/>
    <w:uiPriority w:val="9"/>
    <w:pPr>
      <w:keepNext/>
      <w:keepLines/>
      <w:numPr>
        <w:ilvl w:val="6"/>
        <w:numId w:val="1"/>
      </w:numPr>
      <w:spacing w:before="240" w:after="64" w:line="320" w:lineRule="atLeast"/>
      <w:ind w:firstLine="0" w:firstLineChars="0"/>
      <w:outlineLvl w:val="6"/>
    </w:pPr>
    <w:rPr>
      <w:b/>
      <w:bCs/>
      <w:sz w:val="24"/>
    </w:rPr>
  </w:style>
  <w:style w:type="paragraph" w:styleId="10">
    <w:name w:val="heading 8"/>
    <w:basedOn w:val="1"/>
    <w:next w:val="1"/>
    <w:link w:val="55"/>
    <w:unhideWhenUsed/>
    <w:qFormat/>
    <w:uiPriority w:val="9"/>
    <w:pPr>
      <w:keepNext/>
      <w:keepLines/>
      <w:numPr>
        <w:ilvl w:val="7"/>
        <w:numId w:val="1"/>
      </w:numPr>
      <w:spacing w:before="240" w:after="64" w:line="320" w:lineRule="atLeast"/>
      <w:ind w:firstLine="0" w:firstLineChars="0"/>
      <w:outlineLvl w:val="7"/>
    </w:pPr>
    <w:rPr>
      <w:rFonts w:asciiTheme="majorHAnsi" w:hAnsiTheme="majorHAnsi" w:eastAsiaTheme="majorEastAsia" w:cstheme="majorBidi"/>
      <w:sz w:val="24"/>
    </w:rPr>
  </w:style>
  <w:style w:type="paragraph" w:styleId="11">
    <w:name w:val="heading 9"/>
    <w:basedOn w:val="1"/>
    <w:next w:val="1"/>
    <w:link w:val="58"/>
    <w:unhideWhenUsed/>
    <w:qFormat/>
    <w:uiPriority w:val="9"/>
    <w:pPr>
      <w:keepNext/>
      <w:keepLines/>
      <w:numPr>
        <w:ilvl w:val="8"/>
        <w:numId w:val="1"/>
      </w:numPr>
      <w:spacing w:before="240" w:after="64" w:line="320" w:lineRule="atLeast"/>
      <w:ind w:firstLine="0" w:firstLineChars="0"/>
      <w:outlineLvl w:val="8"/>
    </w:pPr>
    <w:rPr>
      <w:rFonts w:asciiTheme="majorHAnsi" w:hAnsiTheme="majorHAnsi" w:eastAsiaTheme="majorEastAsia" w:cstheme="majorBidi"/>
      <w:sz w:val="21"/>
      <w:szCs w:val="21"/>
    </w:rPr>
  </w:style>
  <w:style w:type="character" w:default="1" w:styleId="36">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customStyle="1" w:styleId="4">
    <w:name w:val="正文缩进-SG公文"/>
    <w:basedOn w:val="1"/>
    <w:qFormat/>
    <w:uiPriority w:val="2"/>
    <w:pPr>
      <w:adjustRightInd w:val="0"/>
      <w:snapToGrid w:val="0"/>
      <w:spacing w:beforeLines="50" w:afterLines="50" w:line="500" w:lineRule="exact"/>
    </w:pPr>
    <w:rPr>
      <w:rFonts w:ascii="Consolas" w:hAnsi="Consolas" w:eastAsia="方正仿宋_GBK"/>
    </w:rPr>
  </w:style>
  <w:style w:type="paragraph" w:styleId="12">
    <w:name w:val="toc 7"/>
    <w:basedOn w:val="1"/>
    <w:next w:val="1"/>
    <w:unhideWhenUsed/>
    <w:qFormat/>
    <w:uiPriority w:val="39"/>
    <w:pPr>
      <w:ind w:left="1920"/>
      <w:jc w:val="left"/>
    </w:pPr>
    <w:rPr>
      <w:rFonts w:asciiTheme="minorHAnsi" w:hAnsiTheme="minorHAnsi" w:cstheme="minorHAnsi"/>
      <w:sz w:val="18"/>
      <w:szCs w:val="18"/>
    </w:rPr>
  </w:style>
  <w:style w:type="paragraph" w:styleId="13">
    <w:name w:val="Normal Indent"/>
    <w:basedOn w:val="1"/>
    <w:qFormat/>
    <w:uiPriority w:val="0"/>
    <w:pPr>
      <w:ind w:firstLine="420"/>
    </w:pPr>
  </w:style>
  <w:style w:type="paragraph" w:styleId="14">
    <w:name w:val="caption"/>
    <w:basedOn w:val="1"/>
    <w:next w:val="1"/>
    <w:unhideWhenUsed/>
    <w:qFormat/>
    <w:uiPriority w:val="35"/>
    <w:rPr>
      <w:rFonts w:ascii="Cambria" w:hAnsi="Cambria" w:eastAsia="黑体"/>
      <w:sz w:val="20"/>
      <w:szCs w:val="20"/>
    </w:rPr>
  </w:style>
  <w:style w:type="paragraph" w:styleId="15">
    <w:name w:val="annotation text"/>
    <w:basedOn w:val="1"/>
    <w:link w:val="60"/>
    <w:qFormat/>
    <w:uiPriority w:val="0"/>
    <w:pPr>
      <w:jc w:val="left"/>
    </w:pPr>
  </w:style>
  <w:style w:type="paragraph" w:styleId="16">
    <w:name w:val="Body Text"/>
    <w:basedOn w:val="1"/>
    <w:next w:val="1"/>
    <w:link w:val="72"/>
    <w:unhideWhenUsed/>
    <w:qFormat/>
    <w:uiPriority w:val="99"/>
    <w:pPr>
      <w:spacing w:after="120"/>
    </w:pPr>
  </w:style>
  <w:style w:type="paragraph" w:styleId="17">
    <w:name w:val="Body Text Indent"/>
    <w:basedOn w:val="1"/>
    <w:link w:val="62"/>
    <w:unhideWhenUsed/>
    <w:qFormat/>
    <w:uiPriority w:val="99"/>
    <w:pPr>
      <w:spacing w:after="120"/>
      <w:ind w:left="420" w:leftChars="200"/>
    </w:pPr>
  </w:style>
  <w:style w:type="paragraph" w:styleId="18">
    <w:name w:val="toc 5"/>
    <w:basedOn w:val="1"/>
    <w:next w:val="1"/>
    <w:unhideWhenUsed/>
    <w:qFormat/>
    <w:uiPriority w:val="39"/>
    <w:pPr>
      <w:ind w:left="1280"/>
      <w:jc w:val="left"/>
    </w:pPr>
    <w:rPr>
      <w:rFonts w:asciiTheme="minorHAnsi" w:hAnsiTheme="minorHAnsi" w:cstheme="minorHAnsi"/>
      <w:sz w:val="18"/>
      <w:szCs w:val="18"/>
    </w:rPr>
  </w:style>
  <w:style w:type="paragraph" w:styleId="19">
    <w:name w:val="toc 3"/>
    <w:basedOn w:val="1"/>
    <w:next w:val="1"/>
    <w:unhideWhenUsed/>
    <w:qFormat/>
    <w:uiPriority w:val="39"/>
    <w:pPr>
      <w:ind w:left="640"/>
      <w:jc w:val="left"/>
    </w:pPr>
    <w:rPr>
      <w:rFonts w:asciiTheme="minorHAnsi" w:hAnsiTheme="minorHAnsi" w:cstheme="minorHAnsi"/>
      <w:i/>
      <w:iCs/>
      <w:sz w:val="20"/>
      <w:szCs w:val="20"/>
    </w:rPr>
  </w:style>
  <w:style w:type="paragraph" w:styleId="20">
    <w:name w:val="toc 8"/>
    <w:basedOn w:val="1"/>
    <w:next w:val="1"/>
    <w:unhideWhenUsed/>
    <w:qFormat/>
    <w:uiPriority w:val="39"/>
    <w:pPr>
      <w:ind w:left="2240"/>
      <w:jc w:val="left"/>
    </w:pPr>
    <w:rPr>
      <w:rFonts w:asciiTheme="minorHAnsi" w:hAnsiTheme="minorHAnsi" w:cstheme="minorHAnsi"/>
      <w:sz w:val="18"/>
      <w:szCs w:val="18"/>
    </w:rPr>
  </w:style>
  <w:style w:type="paragraph" w:styleId="21">
    <w:name w:val="Date"/>
    <w:basedOn w:val="1"/>
    <w:next w:val="1"/>
    <w:link w:val="47"/>
    <w:unhideWhenUsed/>
    <w:qFormat/>
    <w:uiPriority w:val="99"/>
    <w:pPr>
      <w:ind w:left="100" w:leftChars="2500"/>
    </w:pPr>
  </w:style>
  <w:style w:type="paragraph" w:styleId="22">
    <w:name w:val="Balloon Text"/>
    <w:basedOn w:val="1"/>
    <w:link w:val="45"/>
    <w:qFormat/>
    <w:uiPriority w:val="0"/>
    <w:pPr>
      <w:spacing w:line="240" w:lineRule="auto"/>
    </w:pPr>
    <w:rPr>
      <w:sz w:val="18"/>
      <w:szCs w:val="18"/>
    </w:rPr>
  </w:style>
  <w:style w:type="paragraph" w:styleId="23">
    <w:name w:val="footer"/>
    <w:basedOn w:val="1"/>
    <w:link w:val="53"/>
    <w:unhideWhenUsed/>
    <w:qFormat/>
    <w:uiPriority w:val="99"/>
    <w:pPr>
      <w:tabs>
        <w:tab w:val="center" w:pos="4153"/>
        <w:tab w:val="right" w:pos="8306"/>
      </w:tabs>
      <w:snapToGrid w:val="0"/>
      <w:jc w:val="left"/>
    </w:pPr>
    <w:rPr>
      <w:sz w:val="18"/>
      <w:szCs w:val="18"/>
    </w:rPr>
  </w:style>
  <w:style w:type="paragraph" w:styleId="24">
    <w:name w:val="header"/>
    <w:basedOn w:val="1"/>
    <w:link w:val="54"/>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pPr>
      <w:spacing w:before="120" w:after="120"/>
      <w:jc w:val="left"/>
    </w:pPr>
    <w:rPr>
      <w:rFonts w:asciiTheme="minorHAnsi" w:hAnsiTheme="minorHAnsi" w:cstheme="minorHAnsi"/>
      <w:b/>
      <w:bCs/>
      <w:caps/>
      <w:sz w:val="20"/>
      <w:szCs w:val="20"/>
    </w:rPr>
  </w:style>
  <w:style w:type="paragraph" w:styleId="26">
    <w:name w:val="toc 4"/>
    <w:basedOn w:val="1"/>
    <w:next w:val="1"/>
    <w:unhideWhenUsed/>
    <w:qFormat/>
    <w:uiPriority w:val="39"/>
    <w:pPr>
      <w:ind w:left="960"/>
      <w:jc w:val="left"/>
    </w:pPr>
    <w:rPr>
      <w:rFonts w:asciiTheme="minorHAnsi" w:hAnsiTheme="minorHAnsi" w:cstheme="minorHAnsi"/>
      <w:sz w:val="18"/>
      <w:szCs w:val="18"/>
    </w:rPr>
  </w:style>
  <w:style w:type="paragraph" w:styleId="27">
    <w:name w:val="footnote text"/>
    <w:basedOn w:val="1"/>
    <w:link w:val="65"/>
    <w:unhideWhenUsed/>
    <w:qFormat/>
    <w:uiPriority w:val="99"/>
    <w:pPr>
      <w:snapToGrid w:val="0"/>
      <w:jc w:val="left"/>
    </w:pPr>
    <w:rPr>
      <w:sz w:val="18"/>
    </w:rPr>
  </w:style>
  <w:style w:type="paragraph" w:styleId="28">
    <w:name w:val="toc 6"/>
    <w:basedOn w:val="1"/>
    <w:next w:val="1"/>
    <w:unhideWhenUsed/>
    <w:qFormat/>
    <w:uiPriority w:val="39"/>
    <w:pPr>
      <w:ind w:left="1600"/>
      <w:jc w:val="left"/>
    </w:pPr>
    <w:rPr>
      <w:rFonts w:asciiTheme="minorHAnsi" w:hAnsiTheme="minorHAnsi" w:cstheme="minorHAnsi"/>
      <w:sz w:val="18"/>
      <w:szCs w:val="18"/>
    </w:rPr>
  </w:style>
  <w:style w:type="paragraph" w:styleId="29">
    <w:name w:val="toc 2"/>
    <w:basedOn w:val="1"/>
    <w:next w:val="1"/>
    <w:unhideWhenUsed/>
    <w:qFormat/>
    <w:uiPriority w:val="39"/>
    <w:pPr>
      <w:ind w:left="320"/>
      <w:jc w:val="left"/>
    </w:pPr>
    <w:rPr>
      <w:rFonts w:asciiTheme="minorHAnsi" w:hAnsiTheme="minorHAnsi" w:cstheme="minorHAnsi"/>
      <w:smallCaps/>
      <w:sz w:val="20"/>
      <w:szCs w:val="20"/>
    </w:rPr>
  </w:style>
  <w:style w:type="paragraph" w:styleId="30">
    <w:name w:val="toc 9"/>
    <w:basedOn w:val="1"/>
    <w:next w:val="1"/>
    <w:unhideWhenUsed/>
    <w:qFormat/>
    <w:uiPriority w:val="39"/>
    <w:pPr>
      <w:ind w:left="2560"/>
      <w:jc w:val="left"/>
    </w:pPr>
    <w:rPr>
      <w:rFonts w:asciiTheme="minorHAnsi" w:hAnsiTheme="minorHAnsi" w:cstheme="minorHAnsi"/>
      <w:sz w:val="18"/>
      <w:szCs w:val="18"/>
    </w:rPr>
  </w:style>
  <w:style w:type="paragraph" w:styleId="31">
    <w:name w:val="Normal (Web)"/>
    <w:basedOn w:val="1"/>
    <w:qFormat/>
    <w:uiPriority w:val="0"/>
    <w:rPr>
      <w:sz w:val="24"/>
    </w:rPr>
  </w:style>
  <w:style w:type="paragraph" w:styleId="32">
    <w:name w:val="annotation subject"/>
    <w:basedOn w:val="15"/>
    <w:next w:val="15"/>
    <w:link w:val="64"/>
    <w:unhideWhenUsed/>
    <w:qFormat/>
    <w:uiPriority w:val="99"/>
    <w:rPr>
      <w:b/>
      <w:bCs/>
    </w:rPr>
  </w:style>
  <w:style w:type="paragraph" w:styleId="33">
    <w:name w:val="Body Text First Indent 2"/>
    <w:basedOn w:val="17"/>
    <w:link w:val="61"/>
    <w:qFormat/>
    <w:uiPriority w:val="0"/>
    <w:pPr>
      <w:ind w:firstLine="420"/>
    </w:pPr>
  </w:style>
  <w:style w:type="table" w:styleId="35">
    <w:name w:val="Table Grid"/>
    <w:basedOn w:val="34"/>
    <w:qFormat/>
    <w:uiPriority w:val="5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rPr>
  </w:style>
  <w:style w:type="character" w:styleId="38">
    <w:name w:val="Hyperlink"/>
    <w:basedOn w:val="36"/>
    <w:unhideWhenUsed/>
    <w:qFormat/>
    <w:uiPriority w:val="99"/>
    <w:rPr>
      <w:color w:val="0563C1" w:themeColor="hyperlink"/>
      <w:u w:val="single"/>
      <w14:textFill>
        <w14:solidFill>
          <w14:schemeClr w14:val="hlink"/>
        </w14:solidFill>
      </w14:textFill>
    </w:rPr>
  </w:style>
  <w:style w:type="character" w:styleId="39">
    <w:name w:val="annotation reference"/>
    <w:basedOn w:val="36"/>
    <w:unhideWhenUsed/>
    <w:qFormat/>
    <w:uiPriority w:val="99"/>
    <w:rPr>
      <w:sz w:val="21"/>
      <w:szCs w:val="21"/>
    </w:rPr>
  </w:style>
  <w:style w:type="character" w:styleId="40">
    <w:name w:val="footnote reference"/>
    <w:basedOn w:val="36"/>
    <w:unhideWhenUsed/>
    <w:qFormat/>
    <w:uiPriority w:val="99"/>
    <w:rPr>
      <w:vertAlign w:val="superscript"/>
    </w:rPr>
  </w:style>
  <w:style w:type="paragraph" w:customStyle="1" w:styleId="41">
    <w:name w:val="Body Text First Indent 21"/>
    <w:basedOn w:val="17"/>
    <w:qFormat/>
    <w:uiPriority w:val="0"/>
    <w:pPr>
      <w:spacing w:before="100" w:beforeAutospacing="1"/>
      <w:ind w:firstLine="420"/>
    </w:pPr>
    <w:rPr>
      <w:rFonts w:cs="Calibri"/>
      <w:szCs w:val="32"/>
    </w:rPr>
  </w:style>
  <w:style w:type="character" w:customStyle="1" w:styleId="42">
    <w:name w:val="标题 4 字符"/>
    <w:basedOn w:val="36"/>
    <w:link w:val="6"/>
    <w:qFormat/>
    <w:uiPriority w:val="0"/>
    <w:rPr>
      <w:rFonts w:ascii="Arial" w:hAnsi="Arial" w:eastAsia="楷体_GB2312" w:cs="Times New Roman"/>
      <w:b/>
      <w:sz w:val="32"/>
      <w:szCs w:val="24"/>
    </w:rPr>
  </w:style>
  <w:style w:type="character" w:customStyle="1" w:styleId="43">
    <w:name w:val="Unresolved Mention"/>
    <w:basedOn w:val="36"/>
    <w:unhideWhenUsed/>
    <w:qFormat/>
    <w:uiPriority w:val="99"/>
    <w:rPr>
      <w:color w:val="605E5C"/>
      <w:shd w:val="clear" w:color="auto" w:fill="E1DFDD"/>
    </w:rPr>
  </w:style>
  <w:style w:type="paragraph" w:customStyle="1" w:styleId="44">
    <w:name w:val="修订2"/>
    <w:hidden/>
    <w:semiHidden/>
    <w:qFormat/>
    <w:uiPriority w:val="99"/>
    <w:rPr>
      <w:rFonts w:ascii="Calibri" w:hAnsi="Calibri" w:eastAsia="仿宋_GB2312" w:cs="Times New Roman"/>
      <w:kern w:val="2"/>
      <w:sz w:val="32"/>
      <w:szCs w:val="24"/>
      <w:lang w:val="en-US" w:eastAsia="zh-CN" w:bidi="ar-SA"/>
    </w:rPr>
  </w:style>
  <w:style w:type="character" w:customStyle="1" w:styleId="45">
    <w:name w:val="批注框文本 字符"/>
    <w:basedOn w:val="36"/>
    <w:link w:val="22"/>
    <w:qFormat/>
    <w:uiPriority w:val="0"/>
    <w:rPr>
      <w:rFonts w:ascii="Calibri" w:hAnsi="Calibri" w:eastAsia="仿宋_GB2312" w:cs="Times New Roman"/>
      <w:sz w:val="18"/>
      <w:szCs w:val="18"/>
    </w:rPr>
  </w:style>
  <w:style w:type="paragraph" w:customStyle="1" w:styleId="46">
    <w:name w:val="修订1"/>
    <w:hidden/>
    <w:semiHidden/>
    <w:qFormat/>
    <w:uiPriority w:val="99"/>
    <w:rPr>
      <w:rFonts w:ascii="Calibri" w:hAnsi="Calibri" w:eastAsia="仿宋_GB2312" w:cs="Times New Roman"/>
      <w:kern w:val="2"/>
      <w:sz w:val="32"/>
      <w:szCs w:val="24"/>
      <w:lang w:val="en-US" w:eastAsia="zh-CN" w:bidi="ar-SA"/>
    </w:rPr>
  </w:style>
  <w:style w:type="character" w:customStyle="1" w:styleId="47">
    <w:name w:val="日期 字符"/>
    <w:basedOn w:val="36"/>
    <w:link w:val="21"/>
    <w:semiHidden/>
    <w:qFormat/>
    <w:uiPriority w:val="99"/>
    <w:rPr>
      <w:rFonts w:ascii="Calibri" w:hAnsi="Calibri" w:eastAsia="仿宋_GB2312" w:cs="Times New Roman"/>
      <w:sz w:val="32"/>
      <w:szCs w:val="24"/>
    </w:rPr>
  </w:style>
  <w:style w:type="character" w:customStyle="1" w:styleId="48">
    <w:name w:val="标题 3 字符"/>
    <w:basedOn w:val="36"/>
    <w:link w:val="5"/>
    <w:qFormat/>
    <w:uiPriority w:val="0"/>
    <w:rPr>
      <w:rFonts w:ascii="Calibri" w:hAnsi="Calibri" w:eastAsia="楷体_GB2312" w:cs="Times New Roman"/>
      <w:b/>
      <w:sz w:val="32"/>
      <w:szCs w:val="24"/>
    </w:rPr>
  </w:style>
  <w:style w:type="character" w:customStyle="1" w:styleId="49">
    <w:name w:val="15"/>
    <w:qFormat/>
    <w:uiPriority w:val="0"/>
    <w:rPr>
      <w:rFonts w:hint="eastAsia" w:ascii="宋体" w:hAnsi="宋体" w:eastAsia="宋体"/>
      <w:color w:val="000000"/>
      <w:sz w:val="20"/>
      <w:szCs w:val="20"/>
    </w:rPr>
  </w:style>
  <w:style w:type="paragraph" w:customStyle="1" w:styleId="50">
    <w:name w:val="目录 11"/>
    <w:next w:val="1"/>
    <w:qFormat/>
    <w:uiPriority w:val="99"/>
    <w:pPr>
      <w:wordWrap w:val="0"/>
      <w:jc w:val="both"/>
    </w:pPr>
    <w:rPr>
      <w:rFonts w:ascii="Times New Roman" w:hAnsi="Times New Roman" w:eastAsia="宋体" w:cs="Times New Roman"/>
      <w:sz w:val="21"/>
      <w:szCs w:val="22"/>
      <w:lang w:val="en-US" w:eastAsia="zh-CN" w:bidi="ar-SA"/>
    </w:rPr>
  </w:style>
  <w:style w:type="character" w:customStyle="1" w:styleId="51">
    <w:name w:val="标题 1 字符"/>
    <w:basedOn w:val="36"/>
    <w:link w:val="2"/>
    <w:qFormat/>
    <w:uiPriority w:val="0"/>
    <w:rPr>
      <w:rFonts w:ascii="Calibri" w:hAnsi="Calibri" w:eastAsia="仿宋_GB2312" w:cs="Times New Roman"/>
      <w:b/>
      <w:kern w:val="44"/>
      <w:sz w:val="44"/>
      <w:szCs w:val="24"/>
    </w:rPr>
  </w:style>
  <w:style w:type="paragraph" w:customStyle="1" w:styleId="52">
    <w:name w:val="修订3"/>
    <w:hidden/>
    <w:semiHidden/>
    <w:qFormat/>
    <w:uiPriority w:val="99"/>
    <w:rPr>
      <w:rFonts w:ascii="Calibri" w:hAnsi="Calibri" w:eastAsia="仿宋_GB2312" w:cs="Times New Roman"/>
      <w:kern w:val="2"/>
      <w:sz w:val="32"/>
      <w:szCs w:val="24"/>
      <w:lang w:val="en-US" w:eastAsia="zh-CN" w:bidi="ar-SA"/>
    </w:rPr>
  </w:style>
  <w:style w:type="character" w:customStyle="1" w:styleId="53">
    <w:name w:val="页脚 字符"/>
    <w:basedOn w:val="36"/>
    <w:link w:val="23"/>
    <w:qFormat/>
    <w:uiPriority w:val="99"/>
    <w:rPr>
      <w:sz w:val="18"/>
      <w:szCs w:val="18"/>
    </w:rPr>
  </w:style>
  <w:style w:type="character" w:customStyle="1" w:styleId="54">
    <w:name w:val="页眉 字符"/>
    <w:basedOn w:val="36"/>
    <w:link w:val="24"/>
    <w:qFormat/>
    <w:uiPriority w:val="99"/>
    <w:rPr>
      <w:sz w:val="18"/>
      <w:szCs w:val="18"/>
    </w:rPr>
  </w:style>
  <w:style w:type="character" w:customStyle="1" w:styleId="55">
    <w:name w:val="标题 8 字符"/>
    <w:basedOn w:val="36"/>
    <w:link w:val="10"/>
    <w:semiHidden/>
    <w:qFormat/>
    <w:uiPriority w:val="9"/>
    <w:rPr>
      <w:rFonts w:asciiTheme="majorHAnsi" w:hAnsiTheme="majorHAnsi" w:eastAsiaTheme="majorEastAsia" w:cstheme="majorBidi"/>
      <w:sz w:val="24"/>
      <w:szCs w:val="24"/>
    </w:rPr>
  </w:style>
  <w:style w:type="paragraph" w:customStyle="1" w:styleId="56">
    <w:name w:val="List Paragraph"/>
    <w:basedOn w:val="1"/>
    <w:qFormat/>
    <w:uiPriority w:val="34"/>
    <w:pPr>
      <w:ind w:firstLine="420"/>
    </w:pPr>
  </w:style>
  <w:style w:type="character" w:customStyle="1" w:styleId="57">
    <w:name w:val="标题 5 字符"/>
    <w:basedOn w:val="36"/>
    <w:link w:val="7"/>
    <w:qFormat/>
    <w:uiPriority w:val="0"/>
    <w:rPr>
      <w:rFonts w:ascii="Calibri" w:hAnsi="Calibri" w:eastAsia="仿宋_GB2312" w:cs="Times New Roman"/>
      <w:b/>
      <w:sz w:val="28"/>
      <w:szCs w:val="24"/>
    </w:rPr>
  </w:style>
  <w:style w:type="character" w:customStyle="1" w:styleId="58">
    <w:name w:val="标题 9 字符"/>
    <w:basedOn w:val="36"/>
    <w:link w:val="11"/>
    <w:semiHidden/>
    <w:qFormat/>
    <w:uiPriority w:val="9"/>
    <w:rPr>
      <w:rFonts w:asciiTheme="majorHAnsi" w:hAnsiTheme="majorHAnsi" w:eastAsiaTheme="majorEastAsia" w:cstheme="majorBidi"/>
      <w:szCs w:val="21"/>
    </w:rPr>
  </w:style>
  <w:style w:type="character" w:customStyle="1" w:styleId="59">
    <w:name w:val="标题 2 字符"/>
    <w:basedOn w:val="36"/>
    <w:link w:val="3"/>
    <w:qFormat/>
    <w:uiPriority w:val="0"/>
    <w:rPr>
      <w:rFonts w:ascii="Arial" w:hAnsi="Arial" w:eastAsia="黑体" w:cs="Times New Roman"/>
      <w:b/>
      <w:sz w:val="32"/>
      <w:szCs w:val="24"/>
    </w:rPr>
  </w:style>
  <w:style w:type="character" w:customStyle="1" w:styleId="60">
    <w:name w:val="批注文字 字符"/>
    <w:basedOn w:val="36"/>
    <w:link w:val="15"/>
    <w:qFormat/>
    <w:uiPriority w:val="0"/>
    <w:rPr>
      <w:rFonts w:ascii="Calibri" w:hAnsi="Calibri" w:eastAsia="仿宋_GB2312" w:cs="Times New Roman"/>
      <w:sz w:val="32"/>
      <w:szCs w:val="24"/>
    </w:rPr>
  </w:style>
  <w:style w:type="character" w:customStyle="1" w:styleId="61">
    <w:name w:val="正文文本首行缩进 2 字符"/>
    <w:basedOn w:val="62"/>
    <w:link w:val="33"/>
    <w:qFormat/>
    <w:uiPriority w:val="0"/>
    <w:rPr>
      <w:rFonts w:ascii="Calibri" w:hAnsi="Calibri" w:eastAsia="仿宋_GB2312" w:cs="Times New Roman"/>
      <w:sz w:val="32"/>
      <w:szCs w:val="24"/>
    </w:rPr>
  </w:style>
  <w:style w:type="character" w:customStyle="1" w:styleId="62">
    <w:name w:val="正文文本缩进 字符"/>
    <w:basedOn w:val="36"/>
    <w:link w:val="17"/>
    <w:semiHidden/>
    <w:qFormat/>
    <w:uiPriority w:val="99"/>
    <w:rPr>
      <w:rFonts w:ascii="Calibri" w:hAnsi="Calibri" w:eastAsia="仿宋_GB2312" w:cs="Times New Roman"/>
      <w:sz w:val="32"/>
      <w:szCs w:val="24"/>
    </w:rPr>
  </w:style>
  <w:style w:type="paragraph" w:customStyle="1" w:styleId="63">
    <w:name w:val="正文with缩进"/>
    <w:basedOn w:val="1"/>
    <w:qFormat/>
    <w:uiPriority w:val="0"/>
    <w:pPr>
      <w:ind w:firstLine="880"/>
    </w:pPr>
  </w:style>
  <w:style w:type="character" w:customStyle="1" w:styleId="64">
    <w:name w:val="批注主题 字符"/>
    <w:basedOn w:val="60"/>
    <w:link w:val="32"/>
    <w:semiHidden/>
    <w:qFormat/>
    <w:uiPriority w:val="99"/>
    <w:rPr>
      <w:rFonts w:ascii="Calibri" w:hAnsi="Calibri" w:eastAsia="仿宋_GB2312" w:cs="Times New Roman"/>
      <w:b/>
      <w:bCs/>
      <w:sz w:val="32"/>
      <w:szCs w:val="24"/>
    </w:rPr>
  </w:style>
  <w:style w:type="character" w:customStyle="1" w:styleId="65">
    <w:name w:val="脚注文本 字符"/>
    <w:basedOn w:val="36"/>
    <w:link w:val="27"/>
    <w:semiHidden/>
    <w:qFormat/>
    <w:uiPriority w:val="99"/>
    <w:rPr>
      <w:rFonts w:ascii="Calibri" w:hAnsi="Calibri" w:eastAsia="仿宋_GB2312"/>
      <w:kern w:val="2"/>
      <w:sz w:val="18"/>
      <w:szCs w:val="24"/>
    </w:rPr>
  </w:style>
  <w:style w:type="paragraph" w:customStyle="1" w:styleId="66">
    <w:name w:val="正文style"/>
    <w:basedOn w:val="1"/>
    <w:qFormat/>
    <w:uiPriority w:val="99"/>
    <w:pPr>
      <w:spacing w:before="120" w:after="120" w:line="360" w:lineRule="auto"/>
      <w:ind w:firstLine="540" w:firstLineChars="225"/>
    </w:pPr>
    <w:rPr>
      <w:rFonts w:cs="宋体"/>
      <w:sz w:val="24"/>
      <w:szCs w:val="20"/>
    </w:rPr>
  </w:style>
  <w:style w:type="paragraph" w:customStyle="1" w:styleId="67">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68">
    <w:name w:val="正文缩进@概设"/>
    <w:basedOn w:val="1"/>
    <w:qFormat/>
    <w:uiPriority w:val="2"/>
    <w:pPr>
      <w:widowControl/>
      <w:adjustRightInd w:val="0"/>
      <w:snapToGrid w:val="0"/>
      <w:spacing w:beforeLines="50" w:afterLines="50" w:line="360" w:lineRule="auto"/>
      <w:ind w:firstLine="200"/>
      <w:contextualSpacing/>
    </w:pPr>
    <w:rPr>
      <w:rFonts w:ascii="Times New Roman" w:hAnsi="Times New Roman" w:eastAsia="宋体" w:cs="华文仿宋"/>
      <w:kern w:val="0"/>
      <w:sz w:val="21"/>
      <w:szCs w:val="21"/>
    </w:rPr>
  </w:style>
  <w:style w:type="character" w:customStyle="1" w:styleId="69">
    <w:name w:val="16"/>
    <w:qFormat/>
    <w:uiPriority w:val="0"/>
    <w:rPr>
      <w:rFonts w:hint="eastAsia" w:ascii="微软雅黑" w:hAnsi="微软雅黑" w:eastAsia="微软雅黑"/>
      <w:color w:val="000000"/>
      <w:sz w:val="20"/>
      <w:szCs w:val="20"/>
    </w:rPr>
  </w:style>
  <w:style w:type="character" w:customStyle="1" w:styleId="70">
    <w:name w:val="标题 7 字符"/>
    <w:basedOn w:val="36"/>
    <w:link w:val="9"/>
    <w:semiHidden/>
    <w:qFormat/>
    <w:uiPriority w:val="9"/>
    <w:rPr>
      <w:rFonts w:ascii="Calibri" w:hAnsi="Calibri" w:eastAsia="仿宋_GB2312" w:cs="Times New Roman"/>
      <w:b/>
      <w:bCs/>
      <w:sz w:val="24"/>
      <w:szCs w:val="24"/>
    </w:rPr>
  </w:style>
  <w:style w:type="character" w:customStyle="1" w:styleId="71">
    <w:name w:val="标题 6 字符"/>
    <w:basedOn w:val="36"/>
    <w:link w:val="8"/>
    <w:semiHidden/>
    <w:qFormat/>
    <w:uiPriority w:val="9"/>
    <w:rPr>
      <w:rFonts w:asciiTheme="majorHAnsi" w:hAnsiTheme="majorHAnsi" w:eastAsiaTheme="majorEastAsia" w:cstheme="majorBidi"/>
      <w:b/>
      <w:bCs/>
      <w:sz w:val="24"/>
      <w:szCs w:val="24"/>
    </w:rPr>
  </w:style>
  <w:style w:type="character" w:customStyle="1" w:styleId="72">
    <w:name w:val="正文文本 字符"/>
    <w:basedOn w:val="36"/>
    <w:link w:val="16"/>
    <w:qFormat/>
    <w:uiPriority w:val="99"/>
    <w:rPr>
      <w:rFonts w:ascii="Calibri" w:hAnsi="Calibri" w:eastAsia="仿宋_GB2312" w:cs="Times New Roman"/>
      <w:sz w:val="32"/>
      <w:szCs w:val="24"/>
    </w:rPr>
  </w:style>
  <w:style w:type="table" w:customStyle="1" w:styleId="73">
    <w:name w:val="网格型1"/>
    <w:basedOn w:val="3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Table Paragraph"/>
    <w:basedOn w:val="1"/>
    <w:qFormat/>
    <w:uiPriority w:val="1"/>
    <w:pPr>
      <w:autoSpaceDE w:val="0"/>
      <w:autoSpaceDN w:val="0"/>
      <w:spacing w:line="240" w:lineRule="auto"/>
      <w:ind w:firstLine="0" w:firstLineChars="0"/>
      <w:jc w:val="left"/>
    </w:pPr>
    <w:rPr>
      <w:rFonts w:ascii="仿宋" w:hAnsi="仿宋" w:eastAsia="仿宋" w:cs="仿宋"/>
      <w:kern w:val="0"/>
      <w:sz w:val="22"/>
      <w:szCs w:val="22"/>
      <w:lang w:val="zh-CN" w:bidi="zh-CN"/>
    </w:rPr>
  </w:style>
  <w:style w:type="paragraph" w:customStyle="1" w:styleId="75">
    <w:name w:val="正文首行缩进 21"/>
    <w:basedOn w:val="17"/>
    <w:qFormat/>
    <w:uiPriority w:val="0"/>
    <w:pPr>
      <w:spacing w:before="100" w:beforeAutospacing="1"/>
      <w:ind w:firstLine="420"/>
    </w:pPr>
    <w:rPr>
      <w:rFonts w:cs="Calibri"/>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22</TotalTime>
  <ScaleCrop>false</ScaleCrop>
  <LinksUpToDate>false</LinksUpToDate>
  <Application>WPS Office_11.8.2.12085_F1E327BC-269C-435d-A152-05C5408002CA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2025-06-30T13:12:00Z</dcterms:created>
  <dc:creator>Administrator</dc:creator>
  <cp:lastModifiedBy>Emma</cp:lastModifiedBy>
  <dcterms:modified xsi:type="dcterms:W3CDTF">2025-08-22T10:40:48Z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BC6FBA0EB99540CC95465CC40149227F</vt:lpwstr>
  </property>
</Properties>
</file>