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E2F377">
      <w:pPr>
        <w:bidi w:val="0"/>
        <w:rPr>
          <w:rFonts w:hint="eastAsia"/>
          <w:lang w:val="en-US" w:eastAsia="zh-CN"/>
        </w:rPr>
      </w:pPr>
    </w:p>
    <w:p w14:paraId="00BD34E5">
      <w:pPr>
        <w:bidi w:val="0"/>
        <w:rPr>
          <w:rFonts w:hint="eastAsia"/>
        </w:rPr>
      </w:pPr>
      <w:bookmarkStart w:id="25" w:name="_GoBack"/>
      <w:bookmarkEnd w:id="25"/>
    </w:p>
    <w:p w14:paraId="74C8FC6E">
      <w:pPr>
        <w:bidi w:val="0"/>
        <w:rPr>
          <w:rFonts w:hint="eastAsia"/>
        </w:rPr>
      </w:pPr>
    </w:p>
    <w:p w14:paraId="13D6FDAD">
      <w:pPr>
        <w:bidi w:val="0"/>
        <w:rPr>
          <w:rFonts w:hint="eastAsia"/>
        </w:rPr>
      </w:pPr>
    </w:p>
    <w:p w14:paraId="7571E7CF">
      <w:pPr>
        <w:ind w:firstLine="0" w:firstLineChars="0"/>
        <w:jc w:val="center"/>
        <w:rPr>
          <w:rFonts w:hint="eastAsia" w:ascii="宋体" w:hAnsi="宋体" w:eastAsia="宋体" w:cs="宋体"/>
          <w:b/>
          <w:color w:val="auto"/>
          <w:sz w:val="52"/>
        </w:rPr>
      </w:pPr>
    </w:p>
    <w:p w14:paraId="4E323FF3">
      <w:pPr>
        <w:ind w:firstLine="0" w:firstLineChars="0"/>
        <w:jc w:val="center"/>
        <w:rPr>
          <w:rFonts w:hint="eastAsia" w:ascii="宋体" w:hAnsi="宋体" w:eastAsia="宋体" w:cs="宋体"/>
          <w:b/>
          <w:color w:val="auto"/>
          <w:sz w:val="52"/>
          <w:lang w:val="en-US" w:eastAsia="zh-CN"/>
        </w:rPr>
      </w:pPr>
      <w:r>
        <w:rPr>
          <w:rFonts w:hint="eastAsia" w:ascii="宋体" w:hAnsi="宋体" w:eastAsia="宋体" w:cs="宋体"/>
          <w:b/>
          <w:color w:val="auto"/>
          <w:sz w:val="52"/>
        </w:rPr>
        <w:t>“网上国网”</w:t>
      </w:r>
      <w:r>
        <w:rPr>
          <w:rFonts w:hint="eastAsia" w:ascii="宋体" w:hAnsi="宋体" w:eastAsia="宋体" w:cs="宋体"/>
          <w:b/>
          <w:color w:val="auto"/>
          <w:sz w:val="52"/>
          <w:lang w:val="en-US" w:eastAsia="zh-CN"/>
        </w:rPr>
        <w:t>APP</w:t>
      </w:r>
      <w:r>
        <w:rPr>
          <w:rFonts w:hint="eastAsia" w:ascii="宋体" w:hAnsi="宋体" w:cs="Arial"/>
          <w:b/>
          <w:color w:val="auto"/>
          <w:kern w:val="0"/>
          <w:sz w:val="52"/>
          <w:szCs w:val="52"/>
        </w:rPr>
        <w:t>新能源竞价服务专区</w:t>
      </w:r>
      <w:r>
        <w:rPr>
          <w:rFonts w:hint="eastAsia" w:ascii="宋体" w:hAnsi="宋体" w:eastAsia="宋体" w:cs="宋体"/>
          <w:b/>
          <w:color w:val="auto"/>
          <w:sz w:val="52"/>
          <w:lang w:val="en-US" w:eastAsia="zh-CN"/>
        </w:rPr>
        <w:t>操作手册</w:t>
      </w:r>
    </w:p>
    <w:p w14:paraId="2A11D940">
      <w:pPr>
        <w:pStyle w:val="2"/>
        <w:rPr>
          <w:rFonts w:hint="default"/>
          <w:lang w:val="en-US" w:eastAsia="zh-CN"/>
        </w:rPr>
      </w:pPr>
    </w:p>
    <w:p w14:paraId="245A409A">
      <w:pPr>
        <w:jc w:val="center"/>
        <w:rPr>
          <w:rFonts w:ascii="Arial" w:hAnsi="Arial" w:cs="Arial"/>
          <w:color w:val="auto"/>
        </w:rPr>
      </w:pPr>
      <w:r>
        <w:rPr>
          <w:rFonts w:hint="eastAsia" w:ascii="Arial" w:hAnsi="Arial" w:cs="Arial"/>
          <w:b/>
          <w:color w:val="auto"/>
          <w:sz w:val="32"/>
          <w:szCs w:val="32"/>
        </w:rPr>
        <w:t>（</w:t>
      </w:r>
      <w:r>
        <w:rPr>
          <w:rFonts w:hint="eastAsia" w:ascii="Arial" w:hAnsi="Arial" w:cs="Arial"/>
          <w:b/>
          <w:color w:val="auto"/>
          <w:sz w:val="32"/>
          <w:szCs w:val="32"/>
          <w:lang w:val="en-US" w:eastAsia="zh-CN"/>
        </w:rPr>
        <w:t>国网青海省电力公司</w:t>
      </w:r>
      <w:r>
        <w:rPr>
          <w:rFonts w:hint="eastAsia" w:ascii="Arial" w:hAnsi="Arial" w:cs="Arial"/>
          <w:b/>
          <w:color w:val="auto"/>
          <w:sz w:val="32"/>
          <w:szCs w:val="32"/>
        </w:rPr>
        <w:t>）</w:t>
      </w:r>
    </w:p>
    <w:p w14:paraId="6C67F1C6">
      <w:pPr>
        <w:spacing w:before="156" w:beforeLines="50" w:line="300" w:lineRule="auto"/>
        <w:ind w:firstLine="883"/>
        <w:jc w:val="center"/>
        <w:rPr>
          <w:rFonts w:ascii="宋体" w:hAnsi="宋体" w:cs="Arial"/>
          <w:b/>
          <w:color w:val="auto"/>
          <w:kern w:val="0"/>
          <w:sz w:val="44"/>
          <w:szCs w:val="44"/>
        </w:rPr>
      </w:pPr>
    </w:p>
    <w:p w14:paraId="6737EDB3">
      <w:pPr>
        <w:spacing w:before="156" w:beforeLines="50" w:line="300" w:lineRule="auto"/>
        <w:ind w:firstLine="883"/>
        <w:jc w:val="center"/>
        <w:rPr>
          <w:rFonts w:ascii="宋体" w:hAnsi="宋体" w:cs="Arial"/>
          <w:b/>
          <w:color w:val="auto"/>
          <w:kern w:val="0"/>
          <w:sz w:val="44"/>
          <w:szCs w:val="44"/>
        </w:rPr>
      </w:pPr>
    </w:p>
    <w:p w14:paraId="2E7CA64E">
      <w:pPr>
        <w:spacing w:before="156" w:beforeLines="50" w:line="300" w:lineRule="auto"/>
        <w:ind w:firstLine="883"/>
        <w:jc w:val="center"/>
        <w:rPr>
          <w:rFonts w:ascii="宋体" w:hAnsi="宋体" w:cs="Arial"/>
          <w:b/>
          <w:color w:val="auto"/>
          <w:kern w:val="0"/>
          <w:sz w:val="44"/>
          <w:szCs w:val="44"/>
        </w:rPr>
      </w:pPr>
    </w:p>
    <w:p w14:paraId="64AB9C9B">
      <w:pPr>
        <w:spacing w:before="156" w:beforeLines="50" w:line="300" w:lineRule="auto"/>
        <w:ind w:firstLine="883"/>
        <w:jc w:val="center"/>
        <w:rPr>
          <w:rFonts w:ascii="宋体" w:hAnsi="宋体" w:cs="Arial"/>
          <w:b/>
          <w:color w:val="auto"/>
          <w:kern w:val="0"/>
          <w:sz w:val="44"/>
          <w:szCs w:val="44"/>
        </w:rPr>
      </w:pPr>
    </w:p>
    <w:p w14:paraId="22E2BF5F">
      <w:pPr>
        <w:spacing w:before="156" w:beforeLines="50" w:line="300" w:lineRule="auto"/>
        <w:ind w:firstLine="883"/>
        <w:jc w:val="center"/>
        <w:rPr>
          <w:rFonts w:ascii="宋体" w:hAnsi="宋体" w:cs="Arial"/>
          <w:b/>
          <w:color w:val="auto"/>
          <w:kern w:val="0"/>
          <w:sz w:val="44"/>
          <w:szCs w:val="44"/>
        </w:rPr>
      </w:pPr>
    </w:p>
    <w:p w14:paraId="7C5DBA82">
      <w:pPr>
        <w:spacing w:before="156" w:beforeLines="50" w:line="300" w:lineRule="auto"/>
        <w:ind w:firstLine="883"/>
        <w:jc w:val="center"/>
        <w:rPr>
          <w:rFonts w:ascii="宋体" w:hAnsi="宋体" w:cs="Arial"/>
          <w:b/>
          <w:color w:val="auto"/>
          <w:kern w:val="0"/>
          <w:sz w:val="44"/>
          <w:szCs w:val="44"/>
        </w:rPr>
      </w:pPr>
    </w:p>
    <w:p w14:paraId="7398A368">
      <w:pPr>
        <w:spacing w:before="156" w:beforeLines="50" w:line="300" w:lineRule="auto"/>
        <w:ind w:firstLine="883"/>
        <w:jc w:val="center"/>
        <w:rPr>
          <w:rFonts w:ascii="宋体" w:hAnsi="宋体" w:cs="Arial"/>
          <w:b/>
          <w:color w:val="auto"/>
          <w:kern w:val="0"/>
          <w:sz w:val="44"/>
          <w:szCs w:val="44"/>
        </w:rPr>
      </w:pPr>
    </w:p>
    <w:p w14:paraId="14F8E118">
      <w:pPr>
        <w:ind w:firstLine="2520" w:firstLineChars="900"/>
        <w:rPr>
          <w:rFonts w:hint="default" w:ascii="Arial" w:hAnsi="Arial" w:cs="Arial" w:eastAsiaTheme="minorEastAsia"/>
          <w:color w:val="auto"/>
          <w:sz w:val="28"/>
          <w:szCs w:val="28"/>
          <w:lang w:val="en-US" w:eastAsia="zh-CN"/>
        </w:rPr>
      </w:pPr>
      <w:r>
        <w:rPr>
          <w:rFonts w:hint="eastAsia" w:ascii="Arial" w:hAnsi="Arial" w:cs="Arial"/>
          <w:color w:val="auto"/>
          <w:sz w:val="28"/>
          <w:szCs w:val="28"/>
        </w:rPr>
        <w:t xml:space="preserve">编制时间 </w:t>
      </w:r>
      <w:r>
        <w:rPr>
          <w:rFonts w:hint="eastAsia" w:ascii="Arial" w:hAnsi="Arial" w:cs="Arial"/>
          <w:color w:val="auto"/>
          <w:sz w:val="28"/>
          <w:szCs w:val="28"/>
          <w:lang w:val="en-US" w:eastAsia="zh-CN"/>
        </w:rPr>
        <w:t>2025.10.15</w:t>
      </w:r>
    </w:p>
    <w:p w14:paraId="29BF9BE9">
      <w:pPr>
        <w:rPr>
          <w:rFonts w:hint="eastAsia"/>
          <w:lang w:val="en-US" w:eastAsia="zh-CN"/>
        </w:rPr>
      </w:pPr>
      <w:r>
        <w:rPr>
          <w:rFonts w:hint="eastAsia"/>
          <w:lang w:val="en-US" w:eastAsia="zh-CN"/>
        </w:rPr>
        <w:br w:type="page"/>
      </w:r>
    </w:p>
    <w:p w14:paraId="54E79BBB">
      <w:pPr>
        <w:bidi w:val="0"/>
        <w:rPr>
          <w:rFonts w:hint="eastAsia"/>
          <w:lang w:val="en-US" w:eastAsia="zh-CN"/>
        </w:rPr>
      </w:pPr>
    </w:p>
    <w:p w14:paraId="675FE389">
      <w:pPr>
        <w:bidi w:val="0"/>
        <w:rPr>
          <w:rFonts w:hint="eastAsia"/>
          <w:lang w:val="en-US" w:eastAsia="zh-CN"/>
        </w:rPr>
      </w:pPr>
    </w:p>
    <w:p w14:paraId="01CF621C">
      <w:pPr>
        <w:pStyle w:val="13"/>
        <w:tabs>
          <w:tab w:val="right" w:leader="dot" w:pos="8306"/>
        </w:tabs>
        <w:jc w:val="center"/>
      </w:pPr>
      <w:r>
        <w:rPr>
          <w:rFonts w:hint="eastAsia"/>
        </w:rPr>
        <w:t>目录</w:t>
      </w:r>
    </w:p>
    <w:p w14:paraId="52D3FC3C">
      <w:pPr>
        <w:pStyle w:val="13"/>
        <w:tabs>
          <w:tab w:val="right" w:leader="dot" w:pos="8306"/>
        </w:tabs>
      </w:pPr>
      <w:r>
        <w:fldChar w:fldCharType="begin"/>
      </w:r>
      <w:r>
        <w:instrText xml:space="preserve">TOC \u \o "1-3" \z \h \tdkey ylrp01</w:instrText>
      </w:r>
      <w:r>
        <w:fldChar w:fldCharType="separate"/>
      </w:r>
      <w:r>
        <w:fldChar w:fldCharType="begin"/>
      </w:r>
      <w:r>
        <w:instrText xml:space="preserve"> HYPERLINK \l _Toc1999895566 </w:instrText>
      </w:r>
      <w:r>
        <w:fldChar w:fldCharType="separate"/>
      </w:r>
      <w:r>
        <w:rPr>
          <w:rFonts w:hint="default" w:ascii="仿宋_GB2312" w:hAnsi="仿宋_GB2312" w:eastAsia="仿宋_GB2312" w:cs="仿宋_GB2312"/>
          <w:lang w:val="en-US" w:eastAsia="zh-CN"/>
        </w:rPr>
        <w:t xml:space="preserve">1. </w:t>
      </w:r>
      <w:r>
        <w:rPr>
          <w:rFonts w:hint="eastAsia" w:ascii="仿宋_GB2312" w:hAnsi="仿宋_GB2312" w:eastAsia="仿宋_GB2312" w:cs="仿宋_GB2312"/>
          <w:lang w:val="en-US" w:eastAsia="zh-CN"/>
        </w:rPr>
        <w:t>功能介绍</w:t>
      </w:r>
      <w:r>
        <w:tab/>
      </w:r>
      <w:r>
        <w:fldChar w:fldCharType="begin"/>
      </w:r>
      <w:r>
        <w:instrText xml:space="preserve"> PAGEREF _Toc1999895566 \h </w:instrText>
      </w:r>
      <w:r>
        <w:fldChar w:fldCharType="separate"/>
      </w:r>
      <w:r>
        <w:t>2</w:t>
      </w:r>
      <w:r>
        <w:fldChar w:fldCharType="end"/>
      </w:r>
      <w:r>
        <w:fldChar w:fldCharType="end"/>
      </w:r>
    </w:p>
    <w:p w14:paraId="16E45698">
      <w:pPr>
        <w:pStyle w:val="13"/>
        <w:tabs>
          <w:tab w:val="right" w:leader="dot" w:pos="8306"/>
        </w:tabs>
      </w:pPr>
      <w:r>
        <w:fldChar w:fldCharType="begin"/>
      </w:r>
      <w:r>
        <w:instrText xml:space="preserve"> HYPERLINK \l _Toc1978218565 </w:instrText>
      </w:r>
      <w:r>
        <w:fldChar w:fldCharType="separate"/>
      </w:r>
      <w:r>
        <w:rPr>
          <w:rFonts w:hint="default" w:ascii="仿宋_GB2312" w:hAnsi="仿宋_GB2312" w:eastAsia="仿宋_GB2312" w:cs="仿宋_GB2312"/>
          <w:lang w:val="en-US" w:eastAsia="zh-CN"/>
        </w:rPr>
        <w:t xml:space="preserve">2. </w:t>
      </w:r>
      <w:r>
        <w:rPr>
          <w:rFonts w:hint="eastAsia" w:ascii="仿宋_GB2312" w:hAnsi="仿宋_GB2312" w:eastAsia="仿宋_GB2312" w:cs="仿宋_GB2312"/>
          <w:lang w:val="en-US" w:eastAsia="zh-CN"/>
        </w:rPr>
        <w:t>功能入口</w:t>
      </w:r>
      <w:r>
        <w:tab/>
      </w:r>
      <w:r>
        <w:fldChar w:fldCharType="begin"/>
      </w:r>
      <w:r>
        <w:instrText xml:space="preserve"> PAGEREF _Toc1978218565 \h </w:instrText>
      </w:r>
      <w:r>
        <w:fldChar w:fldCharType="separate"/>
      </w:r>
      <w:r>
        <w:t>3</w:t>
      </w:r>
      <w:r>
        <w:fldChar w:fldCharType="end"/>
      </w:r>
      <w:r>
        <w:fldChar w:fldCharType="end"/>
      </w:r>
    </w:p>
    <w:p w14:paraId="2C6E5E9D">
      <w:pPr>
        <w:pStyle w:val="13"/>
        <w:tabs>
          <w:tab w:val="right" w:leader="dot" w:pos="8306"/>
        </w:tabs>
      </w:pPr>
      <w:r>
        <w:fldChar w:fldCharType="begin"/>
      </w:r>
      <w:r>
        <w:instrText xml:space="preserve"> HYPERLINK \l _Toc577599101 </w:instrText>
      </w:r>
      <w:r>
        <w:fldChar w:fldCharType="separate"/>
      </w:r>
      <w:r>
        <w:rPr>
          <w:rFonts w:hint="default" w:ascii="仿宋_GB2312" w:hAnsi="仿宋_GB2312" w:eastAsia="仿宋_GB2312" w:cs="仿宋_GB2312"/>
          <w:lang w:val="en-US"/>
        </w:rPr>
        <w:t xml:space="preserve">3. </w:t>
      </w:r>
      <w:r>
        <w:rPr>
          <w:rFonts w:hint="eastAsia" w:ascii="仿宋_GB2312" w:hAnsi="仿宋_GB2312" w:eastAsia="仿宋_GB2312" w:cs="仿宋_GB2312"/>
          <w:lang w:val="en-US"/>
        </w:rPr>
        <w:t>操作流程</w:t>
      </w:r>
      <w:r>
        <w:tab/>
      </w:r>
      <w:r>
        <w:fldChar w:fldCharType="begin"/>
      </w:r>
      <w:r>
        <w:instrText xml:space="preserve"> PAGEREF _Toc577599101 \h </w:instrText>
      </w:r>
      <w:r>
        <w:fldChar w:fldCharType="separate"/>
      </w:r>
      <w:r>
        <w:t>4</w:t>
      </w:r>
      <w:r>
        <w:fldChar w:fldCharType="end"/>
      </w:r>
      <w:r>
        <w:fldChar w:fldCharType="end"/>
      </w:r>
    </w:p>
    <w:p w14:paraId="2D421B6C">
      <w:pPr>
        <w:pStyle w:val="14"/>
        <w:tabs>
          <w:tab w:val="right" w:leader="dot" w:pos="8306"/>
        </w:tabs>
      </w:pPr>
      <w:r>
        <w:fldChar w:fldCharType="begin"/>
      </w:r>
      <w:r>
        <w:instrText xml:space="preserve"> HYPERLINK \l _Toc1082006067 </w:instrText>
      </w:r>
      <w:r>
        <w:fldChar w:fldCharType="separate"/>
      </w:r>
      <w:r>
        <w:rPr>
          <w:rFonts w:hint="default" w:ascii="仿宋_GB2312" w:hAnsi="仿宋_GB2312" w:eastAsia="仿宋_GB2312" w:cs="仿宋_GB2312"/>
          <w:szCs w:val="32"/>
          <w:lang w:val="en-US" w:eastAsia="zh-CN"/>
        </w:rPr>
        <w:t xml:space="preserve">3.1. </w:t>
      </w:r>
      <w:r>
        <w:rPr>
          <w:rFonts w:hint="eastAsia" w:ascii="仿宋_GB2312" w:hAnsi="仿宋_GB2312" w:eastAsia="仿宋_GB2312" w:cs="仿宋_GB2312"/>
          <w:szCs w:val="32"/>
          <w:lang w:val="en-US" w:eastAsia="zh-CN"/>
        </w:rPr>
        <w:t>注册及实名认证</w:t>
      </w:r>
      <w:r>
        <w:tab/>
      </w:r>
      <w:r>
        <w:fldChar w:fldCharType="begin"/>
      </w:r>
      <w:r>
        <w:instrText xml:space="preserve"> PAGEREF _Toc1082006067 \h </w:instrText>
      </w:r>
      <w:r>
        <w:fldChar w:fldCharType="separate"/>
      </w:r>
      <w:r>
        <w:t>4</w:t>
      </w:r>
      <w:r>
        <w:fldChar w:fldCharType="end"/>
      </w:r>
      <w:r>
        <w:fldChar w:fldCharType="end"/>
      </w:r>
    </w:p>
    <w:p w14:paraId="44FAC81B">
      <w:pPr>
        <w:pStyle w:val="14"/>
        <w:tabs>
          <w:tab w:val="right" w:leader="dot" w:pos="8306"/>
        </w:tabs>
      </w:pPr>
      <w:r>
        <w:fldChar w:fldCharType="begin"/>
      </w:r>
      <w:r>
        <w:instrText xml:space="preserve"> HYPERLINK \l _Toc384445273 </w:instrText>
      </w:r>
      <w:r>
        <w:fldChar w:fldCharType="separate"/>
      </w:r>
      <w:r>
        <w:rPr>
          <w:rFonts w:hint="default" w:ascii="仿宋_GB2312" w:hAnsi="仿宋_GB2312" w:eastAsia="仿宋_GB2312" w:cs="仿宋_GB2312"/>
          <w:szCs w:val="32"/>
          <w:lang w:val="en-US" w:eastAsia="zh-CN"/>
        </w:rPr>
        <w:t xml:space="preserve">3.2. </w:t>
      </w:r>
      <w:r>
        <w:rPr>
          <w:rFonts w:hint="eastAsia" w:ascii="仿宋_GB2312" w:hAnsi="仿宋_GB2312" w:eastAsia="仿宋_GB2312" w:cs="仿宋_GB2312"/>
          <w:szCs w:val="32"/>
          <w:lang w:val="en-US" w:eastAsia="zh-CN"/>
        </w:rPr>
        <w:t>填报竞价项目信息</w:t>
      </w:r>
      <w:r>
        <w:tab/>
      </w:r>
      <w:r>
        <w:fldChar w:fldCharType="begin"/>
      </w:r>
      <w:r>
        <w:instrText xml:space="preserve"> PAGEREF _Toc384445273 \h </w:instrText>
      </w:r>
      <w:r>
        <w:fldChar w:fldCharType="separate"/>
      </w:r>
      <w:r>
        <w:t>5</w:t>
      </w:r>
      <w:r>
        <w:fldChar w:fldCharType="end"/>
      </w:r>
      <w:r>
        <w:fldChar w:fldCharType="end"/>
      </w:r>
    </w:p>
    <w:p w14:paraId="1F161497">
      <w:pPr>
        <w:pStyle w:val="10"/>
        <w:tabs>
          <w:tab w:val="right" w:leader="dot" w:pos="8306"/>
        </w:tabs>
      </w:pPr>
      <w:r>
        <w:fldChar w:fldCharType="begin"/>
      </w:r>
      <w:r>
        <w:instrText xml:space="preserve"> HYPERLINK \l _Toc1740893135 </w:instrText>
      </w:r>
      <w:r>
        <w:fldChar w:fldCharType="separate"/>
      </w:r>
      <w:r>
        <w:rPr>
          <w:rFonts w:hint="default"/>
          <w:lang w:val="en-US" w:eastAsia="zh-CN"/>
        </w:rPr>
        <w:t xml:space="preserve">3.2.1. </w:t>
      </w:r>
      <w:r>
        <w:rPr>
          <w:rFonts w:hint="eastAsia"/>
          <w:lang w:val="en-US" w:eastAsia="zh-CN"/>
        </w:rPr>
        <w:t>自然人项目申请</w:t>
      </w:r>
      <w:r>
        <w:tab/>
      </w:r>
      <w:r>
        <w:fldChar w:fldCharType="begin"/>
      </w:r>
      <w:r>
        <w:instrText xml:space="preserve"> PAGEREF _Toc1740893135 \h </w:instrText>
      </w:r>
      <w:r>
        <w:fldChar w:fldCharType="separate"/>
      </w:r>
      <w:r>
        <w:t>6</w:t>
      </w:r>
      <w:r>
        <w:fldChar w:fldCharType="end"/>
      </w:r>
      <w:r>
        <w:fldChar w:fldCharType="end"/>
      </w:r>
    </w:p>
    <w:p w14:paraId="7F508254">
      <w:pPr>
        <w:pStyle w:val="10"/>
        <w:tabs>
          <w:tab w:val="right" w:leader="dot" w:pos="8306"/>
        </w:tabs>
      </w:pPr>
      <w:r>
        <w:fldChar w:fldCharType="begin"/>
      </w:r>
      <w:r>
        <w:instrText xml:space="preserve"> HYPERLINK \l _Toc1873713217 </w:instrText>
      </w:r>
      <w:r>
        <w:fldChar w:fldCharType="separate"/>
      </w:r>
      <w:r>
        <w:rPr>
          <w:rFonts w:hint="default"/>
          <w:lang w:val="en-US" w:eastAsia="zh-CN"/>
        </w:rPr>
        <w:t xml:space="preserve">3.2.2. </w:t>
      </w:r>
      <w:r>
        <w:rPr>
          <w:rFonts w:hint="eastAsia"/>
          <w:lang w:val="en-US" w:eastAsia="zh-CN"/>
        </w:rPr>
        <w:t>工商业项目申请</w:t>
      </w:r>
      <w:r>
        <w:tab/>
      </w:r>
      <w:r>
        <w:fldChar w:fldCharType="begin"/>
      </w:r>
      <w:r>
        <w:instrText xml:space="preserve"> PAGEREF _Toc1873713217 \h </w:instrText>
      </w:r>
      <w:r>
        <w:fldChar w:fldCharType="separate"/>
      </w:r>
      <w:r>
        <w:t>12</w:t>
      </w:r>
      <w:r>
        <w:fldChar w:fldCharType="end"/>
      </w:r>
      <w:r>
        <w:fldChar w:fldCharType="end"/>
      </w:r>
    </w:p>
    <w:p w14:paraId="7D95E2D0">
      <w:pPr>
        <w:pStyle w:val="10"/>
        <w:tabs>
          <w:tab w:val="right" w:leader="dot" w:pos="8306"/>
        </w:tabs>
      </w:pPr>
      <w:r>
        <w:fldChar w:fldCharType="begin"/>
      </w:r>
      <w:r>
        <w:instrText xml:space="preserve"> HYPERLINK \l _Toc797838511 </w:instrText>
      </w:r>
      <w:r>
        <w:fldChar w:fldCharType="separate"/>
      </w:r>
      <w:r>
        <w:rPr>
          <w:rFonts w:hint="default"/>
          <w:lang w:val="en-US" w:eastAsia="zh-CN"/>
        </w:rPr>
        <w:t xml:space="preserve">3.2.3. </w:t>
      </w:r>
      <w:r>
        <w:rPr>
          <w:rFonts w:hint="eastAsia"/>
          <w:lang w:val="en-US" w:eastAsia="zh-CN"/>
        </w:rPr>
        <w:t>分布式代理商项目申请</w:t>
      </w:r>
      <w:r>
        <w:tab/>
      </w:r>
      <w:r>
        <w:fldChar w:fldCharType="begin"/>
      </w:r>
      <w:r>
        <w:instrText xml:space="preserve"> PAGEREF _Toc797838511 \h </w:instrText>
      </w:r>
      <w:r>
        <w:fldChar w:fldCharType="separate"/>
      </w:r>
      <w:r>
        <w:t>13</w:t>
      </w:r>
      <w:r>
        <w:fldChar w:fldCharType="end"/>
      </w:r>
      <w:r>
        <w:fldChar w:fldCharType="end"/>
      </w:r>
    </w:p>
    <w:p w14:paraId="41EB3492">
      <w:pPr>
        <w:pStyle w:val="14"/>
        <w:tabs>
          <w:tab w:val="right" w:leader="dot" w:pos="8306"/>
        </w:tabs>
      </w:pPr>
      <w:r>
        <w:fldChar w:fldCharType="begin"/>
      </w:r>
      <w:r>
        <w:instrText xml:space="preserve"> HYPERLINK \l _Toc383962509 </w:instrText>
      </w:r>
      <w:r>
        <w:fldChar w:fldCharType="separate"/>
      </w:r>
      <w:r>
        <w:rPr>
          <w:rFonts w:hint="default" w:ascii="仿宋_GB2312" w:hAnsi="仿宋_GB2312" w:eastAsia="仿宋_GB2312" w:cs="仿宋_GB2312"/>
          <w:szCs w:val="32"/>
          <w:lang w:val="en-US" w:eastAsia="zh-CN"/>
        </w:rPr>
        <w:t xml:space="preserve">3.3. </w:t>
      </w:r>
      <w:r>
        <w:rPr>
          <w:rFonts w:hint="eastAsia" w:ascii="仿宋_GB2312" w:hAnsi="仿宋_GB2312" w:eastAsia="仿宋_GB2312" w:cs="仿宋_GB2312"/>
          <w:szCs w:val="32"/>
          <w:lang w:val="en-US" w:eastAsia="zh-CN"/>
        </w:rPr>
        <w:t>竞价专区公示公告</w:t>
      </w:r>
      <w:r>
        <w:tab/>
      </w:r>
      <w:r>
        <w:fldChar w:fldCharType="begin"/>
      </w:r>
      <w:r>
        <w:instrText xml:space="preserve"> PAGEREF _Toc383962509 \h </w:instrText>
      </w:r>
      <w:r>
        <w:fldChar w:fldCharType="separate"/>
      </w:r>
      <w:r>
        <w:t>14</w:t>
      </w:r>
      <w:r>
        <w:fldChar w:fldCharType="end"/>
      </w:r>
      <w:r>
        <w:fldChar w:fldCharType="end"/>
      </w:r>
    </w:p>
    <w:p w14:paraId="14BD8440">
      <w:pPr>
        <w:pStyle w:val="10"/>
        <w:tabs>
          <w:tab w:val="right" w:leader="dot" w:pos="8306"/>
        </w:tabs>
      </w:pPr>
      <w:r>
        <w:fldChar w:fldCharType="begin"/>
      </w:r>
      <w:r>
        <w:instrText xml:space="preserve"> HYPERLINK \l _Toc69529528 </w:instrText>
      </w:r>
      <w:r>
        <w:fldChar w:fldCharType="separate"/>
      </w:r>
      <w:r>
        <w:rPr>
          <w:rFonts w:hint="default"/>
          <w:lang w:val="en-US" w:eastAsia="zh-CN"/>
        </w:rPr>
        <w:t xml:space="preserve">3.3.1. </w:t>
      </w:r>
      <w:r>
        <w:rPr>
          <w:rFonts w:hint="eastAsia"/>
          <w:lang w:val="en-US" w:eastAsia="zh-CN"/>
        </w:rPr>
        <w:t>查看公示公告详情</w:t>
      </w:r>
      <w:r>
        <w:tab/>
      </w:r>
      <w:r>
        <w:fldChar w:fldCharType="begin"/>
      </w:r>
      <w:r>
        <w:instrText xml:space="preserve"> PAGEREF _Toc69529528 \h </w:instrText>
      </w:r>
      <w:r>
        <w:fldChar w:fldCharType="separate"/>
      </w:r>
      <w:r>
        <w:t>15</w:t>
      </w:r>
      <w:r>
        <w:fldChar w:fldCharType="end"/>
      </w:r>
      <w:r>
        <w:fldChar w:fldCharType="end"/>
      </w:r>
    </w:p>
    <w:p w14:paraId="5FDE54E1">
      <w:pPr>
        <w:pStyle w:val="10"/>
        <w:tabs>
          <w:tab w:val="right" w:leader="dot" w:pos="8306"/>
        </w:tabs>
      </w:pPr>
      <w:r>
        <w:fldChar w:fldCharType="begin"/>
      </w:r>
      <w:r>
        <w:instrText xml:space="preserve"> HYPERLINK \l _Toc351673128 </w:instrText>
      </w:r>
      <w:r>
        <w:fldChar w:fldCharType="separate"/>
      </w:r>
      <w:r>
        <w:rPr>
          <w:rFonts w:hint="default"/>
          <w:lang w:val="en-US" w:eastAsia="zh-CN"/>
        </w:rPr>
        <w:t xml:space="preserve">3.3.2. </w:t>
      </w:r>
      <w:r>
        <w:rPr>
          <w:rFonts w:hint="eastAsia"/>
          <w:lang w:val="en-US" w:eastAsia="zh-CN"/>
        </w:rPr>
        <w:t>资质申请审核结果公示-项目清单</w:t>
      </w:r>
      <w:r>
        <w:tab/>
      </w:r>
      <w:r>
        <w:fldChar w:fldCharType="begin"/>
      </w:r>
      <w:r>
        <w:instrText xml:space="preserve"> PAGEREF _Toc351673128 \h </w:instrText>
      </w:r>
      <w:r>
        <w:fldChar w:fldCharType="separate"/>
      </w:r>
      <w:r>
        <w:t>15</w:t>
      </w:r>
      <w:r>
        <w:fldChar w:fldCharType="end"/>
      </w:r>
      <w:r>
        <w:fldChar w:fldCharType="end"/>
      </w:r>
    </w:p>
    <w:p w14:paraId="59E50277">
      <w:pPr>
        <w:pStyle w:val="10"/>
        <w:tabs>
          <w:tab w:val="right" w:leader="dot" w:pos="8306"/>
        </w:tabs>
      </w:pPr>
      <w:r>
        <w:fldChar w:fldCharType="begin"/>
      </w:r>
      <w:r>
        <w:instrText xml:space="preserve"> HYPERLINK \l _Toc695265752 </w:instrText>
      </w:r>
      <w:r>
        <w:fldChar w:fldCharType="separate"/>
      </w:r>
      <w:r>
        <w:rPr>
          <w:rFonts w:hint="default"/>
          <w:lang w:val="en-US" w:eastAsia="zh-CN"/>
        </w:rPr>
        <w:t xml:space="preserve">3.3.3. </w:t>
      </w:r>
      <w:r>
        <w:rPr>
          <w:rFonts w:hint="eastAsia"/>
          <w:lang w:val="en-US" w:eastAsia="zh-CN"/>
        </w:rPr>
        <w:t>竞价结果公示-项目清单</w:t>
      </w:r>
      <w:r>
        <w:tab/>
      </w:r>
      <w:r>
        <w:fldChar w:fldCharType="begin"/>
      </w:r>
      <w:r>
        <w:instrText xml:space="preserve"> PAGEREF _Toc695265752 \h </w:instrText>
      </w:r>
      <w:r>
        <w:fldChar w:fldCharType="separate"/>
      </w:r>
      <w:r>
        <w:t>16</w:t>
      </w:r>
      <w:r>
        <w:fldChar w:fldCharType="end"/>
      </w:r>
      <w:r>
        <w:fldChar w:fldCharType="end"/>
      </w:r>
    </w:p>
    <w:p w14:paraId="53FC699B">
      <w:pPr>
        <w:pStyle w:val="14"/>
        <w:tabs>
          <w:tab w:val="right" w:leader="dot" w:pos="8306"/>
        </w:tabs>
      </w:pPr>
      <w:r>
        <w:fldChar w:fldCharType="begin"/>
      </w:r>
      <w:r>
        <w:instrText xml:space="preserve"> HYPERLINK \l _Toc872970537 </w:instrText>
      </w:r>
      <w:r>
        <w:fldChar w:fldCharType="separate"/>
      </w:r>
      <w:r>
        <w:rPr>
          <w:rFonts w:hint="default" w:ascii="仿宋_GB2312" w:hAnsi="仿宋_GB2312" w:eastAsia="仿宋_GB2312" w:cs="仿宋_GB2312"/>
          <w:szCs w:val="32"/>
          <w:lang w:val="en-US" w:eastAsia="zh-CN"/>
        </w:rPr>
        <w:t xml:space="preserve">3.4. </w:t>
      </w:r>
      <w:r>
        <w:rPr>
          <w:rFonts w:hint="eastAsia" w:ascii="仿宋_GB2312" w:hAnsi="仿宋_GB2312" w:eastAsia="仿宋_GB2312" w:cs="仿宋_GB2312"/>
          <w:szCs w:val="32"/>
          <w:lang w:val="en-US" w:eastAsia="zh-CN"/>
        </w:rPr>
        <w:t>申请记录</w:t>
      </w:r>
      <w:r>
        <w:tab/>
      </w:r>
      <w:r>
        <w:fldChar w:fldCharType="begin"/>
      </w:r>
      <w:r>
        <w:instrText xml:space="preserve"> PAGEREF _Toc872970537 \h </w:instrText>
      </w:r>
      <w:r>
        <w:fldChar w:fldCharType="separate"/>
      </w:r>
      <w:r>
        <w:t>17</w:t>
      </w:r>
      <w:r>
        <w:fldChar w:fldCharType="end"/>
      </w:r>
      <w:r>
        <w:fldChar w:fldCharType="end"/>
      </w:r>
    </w:p>
    <w:p w14:paraId="6CDC8A94">
      <w:pPr>
        <w:pStyle w:val="10"/>
        <w:tabs>
          <w:tab w:val="right" w:leader="dot" w:pos="8306"/>
        </w:tabs>
      </w:pPr>
      <w:r>
        <w:fldChar w:fldCharType="begin"/>
      </w:r>
      <w:r>
        <w:instrText xml:space="preserve"> HYPERLINK \l _Toc407539055 </w:instrText>
      </w:r>
      <w:r>
        <w:fldChar w:fldCharType="separate"/>
      </w:r>
      <w:r>
        <w:rPr>
          <w:rFonts w:hint="default"/>
          <w:lang w:val="en-US" w:eastAsia="zh-CN"/>
        </w:rPr>
        <w:t xml:space="preserve">3.4.1. </w:t>
      </w:r>
      <w:r>
        <w:rPr>
          <w:rFonts w:hint="eastAsia"/>
          <w:lang w:val="en-US" w:eastAsia="zh-CN"/>
        </w:rPr>
        <w:t>单项目申请</w:t>
      </w:r>
      <w:r>
        <w:tab/>
      </w:r>
      <w:r>
        <w:fldChar w:fldCharType="begin"/>
      </w:r>
      <w:r>
        <w:instrText xml:space="preserve"> PAGEREF _Toc407539055 \h </w:instrText>
      </w:r>
      <w:r>
        <w:fldChar w:fldCharType="separate"/>
      </w:r>
      <w:r>
        <w:t>17</w:t>
      </w:r>
      <w:r>
        <w:fldChar w:fldCharType="end"/>
      </w:r>
      <w:r>
        <w:fldChar w:fldCharType="end"/>
      </w:r>
    </w:p>
    <w:p w14:paraId="2D25F2A7">
      <w:pPr>
        <w:bidi w:val="0"/>
        <w:rPr>
          <w:lang w:val="en-US" w:eastAsia="zh-CN"/>
        </w:rPr>
      </w:pPr>
      <w:r>
        <w:fldChar w:fldCharType="end"/>
      </w:r>
    </w:p>
    <w:p w14:paraId="1F63A7A8">
      <w:pPr>
        <w:rPr>
          <w:rFonts w:hint="eastAsia"/>
          <w:lang w:val="en-US" w:eastAsia="zh-CN"/>
        </w:rPr>
      </w:pPr>
      <w:r>
        <w:rPr>
          <w:rFonts w:hint="eastAsia"/>
          <w:lang w:val="en-US" w:eastAsia="zh-CN"/>
        </w:rPr>
        <w:br w:type="page"/>
      </w:r>
    </w:p>
    <w:p w14:paraId="64E61B33">
      <w:pPr>
        <w:pStyle w:val="2"/>
        <w:rPr>
          <w:rFonts w:hint="eastAsia"/>
          <w:lang w:val="en-US" w:eastAsia="zh-CN"/>
        </w:rPr>
      </w:pPr>
    </w:p>
    <w:p w14:paraId="1BA96864">
      <w:pPr>
        <w:pStyle w:val="5"/>
        <w:numPr>
          <w:ilvl w:val="0"/>
          <w:numId w:val="1"/>
        </w:numPr>
        <w:bidi w:val="0"/>
        <w:rPr>
          <w:rFonts w:hint="default" w:ascii="仿宋_GB2312" w:hAnsi="仿宋_GB2312" w:eastAsia="仿宋_GB2312" w:cs="仿宋_GB2312"/>
          <w:lang w:val="en-US" w:eastAsia="zh-CN"/>
        </w:rPr>
      </w:pPr>
      <w:bookmarkStart w:id="0" w:name="_Toc19786"/>
      <w:bookmarkStart w:id="1" w:name="_Toc1999895566"/>
      <w:r>
        <w:rPr>
          <w:rFonts w:hint="eastAsia" w:ascii="仿宋_GB2312" w:hAnsi="仿宋_GB2312" w:eastAsia="仿宋_GB2312" w:cs="仿宋_GB2312"/>
          <w:lang w:val="en-US" w:eastAsia="zh-CN"/>
        </w:rPr>
        <w:t>功能介绍</w:t>
      </w:r>
      <w:bookmarkEnd w:id="0"/>
      <w:bookmarkEnd w:id="1"/>
    </w:p>
    <w:p w14:paraId="5835811C">
      <w:pPr>
        <w:pStyle w:val="24"/>
        <w:ind w:firstLine="64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为全面贯彻落实《关于深化新能源上网电价市场化改革 促进新能源高质量发展的通知》（发改价格〔2025〕136号）、《国家电网办〔2025〕131号（盖章）-国家电网有限公司关于认真做好深化新能源上网电价市场化改革实施工作的通知》相关要求，网上国网基于分布式新能源上网电价市场化服务前端服务窗口定位，面向新能源项目业主提供新能源竞价公示公告、竞价业务受理和机制后服务三方面线上服务，并与竞价平台、营销2.0完成相关数据交互。</w:t>
      </w:r>
    </w:p>
    <w:p w14:paraId="18532EB8">
      <w:pPr>
        <w:ind w:firstLine="640" w:firstLineChars="200"/>
        <w:rPr>
          <w:rFonts w:hint="eastAsia"/>
          <w:lang w:val="en-US" w:eastAsia="zh-CN"/>
        </w:rPr>
      </w:pPr>
      <w:r>
        <w:rPr>
          <w:rFonts w:hint="eastAsia" w:ascii="仿宋" w:hAnsi="仿宋" w:eastAsia="仿宋" w:cs="仿宋"/>
          <w:bCs/>
          <w:sz w:val="32"/>
          <w:szCs w:val="32"/>
          <w:lang w:eastAsia="zh-CN"/>
        </w:rPr>
        <w:t>分布式新能源竞价服务专区为分布式光伏项目、分布式光伏代理商2类主体提供竞价政策公示公告、竞价业务受理、签署协议等一站式新能源竞价服务。</w:t>
      </w:r>
    </w:p>
    <w:p w14:paraId="5F3056AC">
      <w:pPr>
        <w:pStyle w:val="5"/>
        <w:numPr>
          <w:ilvl w:val="0"/>
          <w:numId w:val="1"/>
        </w:numPr>
        <w:bidi w:val="0"/>
        <w:rPr>
          <w:rFonts w:hint="eastAsia" w:ascii="仿宋_GB2312" w:hAnsi="仿宋_GB2312" w:eastAsia="仿宋_GB2312" w:cs="仿宋_GB2312"/>
          <w:lang w:val="en-US" w:eastAsia="zh-CN"/>
        </w:rPr>
      </w:pPr>
      <w:bookmarkStart w:id="2" w:name="_Toc18818"/>
      <w:bookmarkStart w:id="3" w:name="_Toc1978218565"/>
      <w:r>
        <w:rPr>
          <w:rFonts w:hint="eastAsia" w:ascii="仿宋_GB2312" w:hAnsi="仿宋_GB2312" w:eastAsia="仿宋_GB2312" w:cs="仿宋_GB2312"/>
          <w:lang w:val="en-US" w:eastAsia="zh-CN"/>
        </w:rPr>
        <w:t>功能入口</w:t>
      </w:r>
      <w:bookmarkEnd w:id="2"/>
      <w:bookmarkEnd w:id="3"/>
    </w:p>
    <w:p w14:paraId="4C4FEBE7">
      <w:pPr>
        <w:pStyle w:val="24"/>
        <w:ind w:left="0" w:leftChars="0" w:firstLine="320" w:firstLineChars="1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网上国网APP-网上营业厅-查询-新能源竞价专区</w:t>
      </w:r>
    </w:p>
    <w:p w14:paraId="178461C4">
      <w:pPr>
        <w:rPr>
          <w:rFonts w:hint="eastAsia"/>
          <w:lang w:val="en-US" w:eastAsia="zh-CN"/>
        </w:rPr>
      </w:pPr>
    </w:p>
    <w:p w14:paraId="2A843226">
      <w:pPr>
        <w:jc w:val="center"/>
        <w:rPr>
          <w:rFonts w:hint="default"/>
          <w:lang w:val="en-US" w:eastAsia="zh-CN"/>
        </w:rPr>
      </w:pPr>
      <w:r>
        <w:drawing>
          <wp:inline distT="0" distB="0" distL="114300" distR="114300">
            <wp:extent cx="2204085" cy="4715510"/>
            <wp:effectExtent l="0" t="0" r="571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2204085" cy="4715510"/>
                    </a:xfrm>
                    <a:prstGeom prst="rect">
                      <a:avLst/>
                    </a:prstGeom>
                    <a:noFill/>
                    <a:ln>
                      <a:noFill/>
                    </a:ln>
                  </pic:spPr>
                </pic:pic>
              </a:graphicData>
            </a:graphic>
          </wp:inline>
        </w:drawing>
      </w:r>
    </w:p>
    <w:p w14:paraId="34E907EA">
      <w:pPr>
        <w:pStyle w:val="5"/>
        <w:numPr>
          <w:ilvl w:val="0"/>
          <w:numId w:val="1"/>
        </w:numPr>
        <w:bidi w:val="0"/>
        <w:rPr>
          <w:rFonts w:hint="eastAsia" w:ascii="仿宋_GB2312" w:hAnsi="仿宋_GB2312" w:eastAsia="仿宋_GB2312" w:cs="仿宋_GB2312"/>
          <w:lang w:val="en-US"/>
        </w:rPr>
      </w:pPr>
      <w:bookmarkStart w:id="4" w:name="_Toc4432"/>
      <w:bookmarkStart w:id="5" w:name="_Toc577599101"/>
      <w:r>
        <w:rPr>
          <w:rFonts w:hint="eastAsia" w:ascii="仿宋_GB2312" w:hAnsi="仿宋_GB2312" w:eastAsia="仿宋_GB2312" w:cs="仿宋_GB2312"/>
          <w:lang w:val="en-US"/>
        </w:rPr>
        <w:t>操作流程</w:t>
      </w:r>
      <w:bookmarkEnd w:id="4"/>
      <w:bookmarkEnd w:id="5"/>
    </w:p>
    <w:p w14:paraId="289A0321">
      <w:pPr>
        <w:pStyle w:val="21"/>
        <w:ind w:left="0" w:leftChars="0"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新能源项目竞价服务专区包括公示公告、填报竞价项目信息、提交履约保函、报量报价、竞价代理商、申请记录、签署差价结算协议、查询机制信息等。</w:t>
      </w:r>
    </w:p>
    <w:p w14:paraId="4F33250F">
      <w:pPr>
        <w:pStyle w:val="21"/>
        <w:ind w:left="0" w:leftChars="0" w:firstLine="0" w:firstLineChars="0"/>
        <w:rPr>
          <w:rFonts w:hint="default" w:ascii="仿宋" w:hAnsi="仿宋" w:eastAsia="仿宋" w:cs="仿宋"/>
          <w:bCs/>
          <w:sz w:val="32"/>
          <w:szCs w:val="32"/>
          <w:lang w:val="en-US" w:eastAsia="zh-CN"/>
        </w:rPr>
      </w:pPr>
    </w:p>
    <w:p w14:paraId="28FF79CD">
      <w:pPr>
        <w:pStyle w:val="6"/>
        <w:numPr>
          <w:ilvl w:val="1"/>
          <w:numId w:val="1"/>
        </w:numPr>
        <w:bidi w:val="0"/>
        <w:rPr>
          <w:rFonts w:hint="eastAsia" w:ascii="仿宋_GB2312" w:hAnsi="仿宋_GB2312" w:eastAsia="仿宋_GB2312" w:cs="仿宋_GB2312"/>
          <w:sz w:val="32"/>
          <w:szCs w:val="32"/>
          <w:lang w:val="en-US" w:eastAsia="zh-CN"/>
        </w:rPr>
      </w:pPr>
      <w:bookmarkStart w:id="6" w:name="_Toc1082006067"/>
      <w:bookmarkStart w:id="7" w:name="_Toc8950"/>
      <w:r>
        <w:rPr>
          <w:rFonts w:hint="eastAsia" w:ascii="仿宋_GB2312" w:hAnsi="仿宋_GB2312" w:eastAsia="仿宋_GB2312" w:cs="仿宋_GB2312"/>
          <w:sz w:val="32"/>
          <w:szCs w:val="32"/>
          <w:lang w:val="en-US" w:eastAsia="zh-CN"/>
        </w:rPr>
        <w:t>注册及实名认证</w:t>
      </w:r>
      <w:bookmarkEnd w:id="6"/>
    </w:p>
    <w:p w14:paraId="2AD80128">
      <w:pPr>
        <w:pStyle w:val="21"/>
        <w:ind w:left="0" w:leftChars="0" w:firstLine="0" w:firstLineChars="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网上国网注册</w:t>
      </w:r>
    </w:p>
    <w:p w14:paraId="2418518B">
      <w:pPr>
        <w:pStyle w:val="21"/>
        <w:ind w:left="0" w:leftChars="0" w:firstLine="0" w:firstLineChars="0"/>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无网上国网账号的人员需要先进行网上国网的注册，商城下载网上国网之后，可点击注册登录进行注册。</w:t>
      </w:r>
    </w:p>
    <w:p w14:paraId="39347961">
      <w:pPr>
        <w:rPr>
          <w:rFonts w:hint="eastAsia"/>
          <w:lang w:val="en-US" w:eastAsia="zh-CN"/>
        </w:rPr>
      </w:pPr>
      <w:r>
        <w:rPr>
          <w:rFonts w:hint="default" w:ascii="仿宋" w:hAnsi="仿宋" w:eastAsia="仿宋" w:cs="仿宋"/>
          <w:bCs/>
          <w:sz w:val="32"/>
          <w:szCs w:val="32"/>
          <w:lang w:val="en-US" w:eastAsia="zh-CN"/>
        </w:rPr>
        <w:drawing>
          <wp:inline distT="0" distB="0" distL="114300" distR="114300">
            <wp:extent cx="1631950" cy="3532505"/>
            <wp:effectExtent l="0" t="0" r="19050" b="23495"/>
            <wp:docPr id="3" name="图片 3" descr="IMG_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013"/>
                    <pic:cNvPicPr>
                      <a:picLocks noChangeAspect="1"/>
                    </pic:cNvPicPr>
                  </pic:nvPicPr>
                  <pic:blipFill>
                    <a:blip r:embed="rId6"/>
                    <a:stretch>
                      <a:fillRect/>
                    </a:stretch>
                  </pic:blipFill>
                  <pic:spPr>
                    <a:xfrm>
                      <a:off x="0" y="0"/>
                      <a:ext cx="1631950" cy="3532505"/>
                    </a:xfrm>
                    <a:prstGeom prst="rect">
                      <a:avLst/>
                    </a:prstGeom>
                  </pic:spPr>
                </pic:pic>
              </a:graphicData>
            </a:graphic>
          </wp:inline>
        </w:drawing>
      </w:r>
      <w:r>
        <w:rPr>
          <w:rFonts w:hint="default" w:ascii="仿宋" w:hAnsi="仿宋" w:eastAsia="仿宋" w:cs="仿宋"/>
          <w:bCs/>
          <w:sz w:val="32"/>
          <w:szCs w:val="32"/>
          <w:lang w:val="en-US" w:eastAsia="zh-CN"/>
        </w:rPr>
        <w:drawing>
          <wp:inline distT="0" distB="0" distL="114300" distR="114300">
            <wp:extent cx="1627505" cy="3522980"/>
            <wp:effectExtent l="0" t="0" r="23495" b="7620"/>
            <wp:docPr id="1" name="图片 1" descr="IMG_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012"/>
                    <pic:cNvPicPr>
                      <a:picLocks noChangeAspect="1"/>
                    </pic:cNvPicPr>
                  </pic:nvPicPr>
                  <pic:blipFill>
                    <a:blip r:embed="rId7"/>
                    <a:stretch>
                      <a:fillRect/>
                    </a:stretch>
                  </pic:blipFill>
                  <pic:spPr>
                    <a:xfrm>
                      <a:off x="0" y="0"/>
                      <a:ext cx="1627505" cy="3522980"/>
                    </a:xfrm>
                    <a:prstGeom prst="rect">
                      <a:avLst/>
                    </a:prstGeom>
                  </pic:spPr>
                </pic:pic>
              </a:graphicData>
            </a:graphic>
          </wp:inline>
        </w:drawing>
      </w:r>
      <w:r>
        <w:rPr>
          <w:rFonts w:hint="default" w:ascii="仿宋" w:hAnsi="仿宋" w:eastAsia="仿宋" w:cs="仿宋"/>
          <w:bCs/>
          <w:sz w:val="32"/>
          <w:szCs w:val="32"/>
          <w:lang w:val="en-US" w:eastAsia="zh-CN"/>
        </w:rPr>
        <w:drawing>
          <wp:inline distT="0" distB="0" distL="114300" distR="114300">
            <wp:extent cx="1628140" cy="3524885"/>
            <wp:effectExtent l="0" t="0" r="22860" b="5715"/>
            <wp:docPr id="4" name="图片 4" descr="IMG_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014"/>
                    <pic:cNvPicPr>
                      <a:picLocks noChangeAspect="1"/>
                    </pic:cNvPicPr>
                  </pic:nvPicPr>
                  <pic:blipFill>
                    <a:blip r:embed="rId8"/>
                    <a:stretch>
                      <a:fillRect/>
                    </a:stretch>
                  </pic:blipFill>
                  <pic:spPr>
                    <a:xfrm>
                      <a:off x="0" y="0"/>
                      <a:ext cx="1628140" cy="3524885"/>
                    </a:xfrm>
                    <a:prstGeom prst="rect">
                      <a:avLst/>
                    </a:prstGeom>
                  </pic:spPr>
                </pic:pic>
              </a:graphicData>
            </a:graphic>
          </wp:inline>
        </w:drawing>
      </w:r>
    </w:p>
    <w:p w14:paraId="008D0C45">
      <w:pPr>
        <w:pStyle w:val="21"/>
        <w:ind w:left="0" w:leftChars="0"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点击“新能源竞价服务专区”时，未实名认证的账号会跳转到实名认证页面，先完成实名认证后才可进入竞价专区。已实名认证的账号可正常进入专区。</w:t>
      </w:r>
    </w:p>
    <w:p w14:paraId="4F5ED187">
      <w:pPr>
        <w:pStyle w:val="21"/>
        <w:ind w:left="0" w:leftChars="0"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实名认证包括验证人脸和银行卡认证，选择其中一个方式进行认证即可。若选择验证人脸则需要</w:t>
      </w:r>
      <w:r>
        <w:rPr>
          <w:rFonts w:ascii="Helvetica" w:hAnsi="Helvetica" w:eastAsia="Helvetica" w:cs="Helvetica"/>
          <w:i w:val="0"/>
          <w:iCs w:val="0"/>
          <w:caps w:val="0"/>
          <w:color w:val="606266"/>
          <w:spacing w:val="0"/>
          <w:sz w:val="16"/>
          <w:szCs w:val="16"/>
          <w:shd w:val="clear" w:fill="FFFFFF"/>
        </w:rPr>
        <w:t>下</w:t>
      </w:r>
      <w:r>
        <w:rPr>
          <w:rFonts w:hint="eastAsia" w:ascii="仿宋" w:hAnsi="仿宋" w:eastAsia="仿宋" w:cs="仿宋"/>
          <w:bCs/>
          <w:sz w:val="32"/>
          <w:szCs w:val="32"/>
          <w:lang w:val="en-US" w:eastAsia="zh-CN"/>
        </w:rPr>
        <w:t>载登录网上国网App，在我的-账户与安全-实名认证模块，完成人脸认证。</w:t>
      </w:r>
    </w:p>
    <w:p w14:paraId="70F06A5D">
      <w:pPr>
        <w:jc w:val="center"/>
        <w:rPr>
          <w:rFonts w:hint="eastAsia"/>
          <w:lang w:val="en-US" w:eastAsia="zh-CN"/>
        </w:rPr>
      </w:pPr>
      <w:r>
        <w:drawing>
          <wp:inline distT="0" distB="0" distL="114300" distR="114300">
            <wp:extent cx="2547620" cy="5450205"/>
            <wp:effectExtent l="0" t="0" r="5080"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2547620" cy="5450205"/>
                    </a:xfrm>
                    <a:prstGeom prst="rect">
                      <a:avLst/>
                    </a:prstGeom>
                    <a:noFill/>
                    <a:ln>
                      <a:noFill/>
                    </a:ln>
                  </pic:spPr>
                </pic:pic>
              </a:graphicData>
            </a:graphic>
          </wp:inline>
        </w:drawing>
      </w:r>
    </w:p>
    <w:p w14:paraId="3BF672C9">
      <w:pPr>
        <w:pStyle w:val="6"/>
        <w:numPr>
          <w:ilvl w:val="1"/>
          <w:numId w:val="1"/>
        </w:numPr>
        <w:bidi w:val="0"/>
        <w:rPr>
          <w:rFonts w:hint="eastAsia" w:ascii="仿宋_GB2312" w:hAnsi="仿宋_GB2312" w:eastAsia="仿宋_GB2312" w:cs="仿宋_GB2312"/>
          <w:sz w:val="32"/>
          <w:szCs w:val="32"/>
          <w:lang w:val="en-US" w:eastAsia="zh-CN"/>
        </w:rPr>
      </w:pPr>
      <w:bookmarkStart w:id="8" w:name="_Toc384445273"/>
      <w:r>
        <w:rPr>
          <w:rFonts w:hint="eastAsia" w:ascii="仿宋_GB2312" w:hAnsi="仿宋_GB2312" w:eastAsia="仿宋_GB2312" w:cs="仿宋_GB2312"/>
          <w:sz w:val="32"/>
          <w:szCs w:val="32"/>
          <w:lang w:val="en-US" w:eastAsia="zh-CN"/>
        </w:rPr>
        <w:t>填报竞价项目信息</w:t>
      </w:r>
      <w:bookmarkEnd w:id="8"/>
    </w:p>
    <w:p w14:paraId="07AD73B3">
      <w:pPr>
        <w:pStyle w:val="21"/>
        <w:ind w:left="0" w:leftChars="0"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点击“填报竞价项目信息”进入项目竞价申请页面，展示业务介绍、项目申请服务入口、我的申请。</w:t>
      </w:r>
    </w:p>
    <w:p w14:paraId="4A381BB0">
      <w:pPr>
        <w:pStyle w:val="21"/>
        <w:numPr>
          <w:ilvl w:val="0"/>
          <w:numId w:val="2"/>
        </w:numPr>
        <w:pBdr>
          <w:bottom w:val="none" w:color="auto" w:sz="0" w:space="0"/>
        </w:pBdr>
        <w:ind w:left="0" w:leftChars="0"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点击“自然人户用分布式新能源项目”进入到自然人项目信息填写页；点击“非自然人户用分布式新能源项目”、“一般工商业分布式新能源项目”、“大型工商业分布式新能源项目”进入工商业项目信息填写页；点击“分布式代理商项目”进入代理商项目填写页面。</w:t>
      </w:r>
    </w:p>
    <w:p w14:paraId="2F32D4A3">
      <w:pPr>
        <w:jc w:val="center"/>
      </w:pPr>
      <w:r>
        <w:drawing>
          <wp:inline distT="0" distB="0" distL="114300" distR="114300">
            <wp:extent cx="2816860" cy="6025515"/>
            <wp:effectExtent l="0" t="0" r="2540" b="1968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0"/>
                    <a:stretch>
                      <a:fillRect/>
                    </a:stretch>
                  </pic:blipFill>
                  <pic:spPr>
                    <a:xfrm>
                      <a:off x="0" y="0"/>
                      <a:ext cx="2816860" cy="6025515"/>
                    </a:xfrm>
                    <a:prstGeom prst="rect">
                      <a:avLst/>
                    </a:prstGeom>
                    <a:noFill/>
                    <a:ln>
                      <a:noFill/>
                    </a:ln>
                  </pic:spPr>
                </pic:pic>
              </a:graphicData>
            </a:graphic>
          </wp:inline>
        </w:drawing>
      </w:r>
    </w:p>
    <w:p w14:paraId="074C21EF">
      <w:pPr>
        <w:pStyle w:val="7"/>
        <w:numPr>
          <w:ilvl w:val="2"/>
          <w:numId w:val="1"/>
        </w:numPr>
        <w:bidi w:val="0"/>
        <w:rPr>
          <w:rFonts w:hint="eastAsia"/>
          <w:lang w:val="en-US" w:eastAsia="zh-CN"/>
        </w:rPr>
      </w:pPr>
      <w:bookmarkStart w:id="9" w:name="_Toc26176"/>
      <w:bookmarkStart w:id="10" w:name="_Toc1740893135"/>
      <w:r>
        <w:rPr>
          <w:rFonts w:hint="eastAsia"/>
          <w:lang w:val="en-US" w:eastAsia="zh-CN"/>
        </w:rPr>
        <w:t>自然人项目申请</w:t>
      </w:r>
      <w:bookmarkEnd w:id="9"/>
      <w:bookmarkEnd w:id="10"/>
    </w:p>
    <w:p w14:paraId="0F177D78">
      <w:pPr>
        <w:pStyle w:val="21"/>
        <w:numPr>
          <w:ilvl w:val="0"/>
          <w:numId w:val="0"/>
        </w:numPr>
        <w:ind w:firstLine="640" w:firstLineChars="200"/>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步骤一：进入自然人项目申请模块，展示业务介绍信息、业务申请所需的材料,根据省侧要求，收资材料信息。点击授权委托书</w:t>
      </w:r>
      <w:r>
        <w:rPr>
          <w:rFonts w:hint="default" w:ascii="仿宋" w:hAnsi="仿宋" w:eastAsia="仿宋" w:cs="仿宋"/>
          <w:bCs/>
          <w:sz w:val="32"/>
          <w:szCs w:val="32"/>
          <w:lang w:val="en-US" w:eastAsia="zh-CN"/>
        </w:rPr>
        <w:t>”</w:t>
      </w:r>
      <w:r>
        <w:rPr>
          <w:rFonts w:hint="eastAsia" w:ascii="仿宋" w:hAnsi="仿宋" w:eastAsia="仿宋" w:cs="仿宋"/>
          <w:bCs/>
          <w:sz w:val="32"/>
          <w:szCs w:val="32"/>
          <w:lang w:val="en-US" w:eastAsia="zh-CN"/>
        </w:rPr>
        <w:t>参考模板</w:t>
      </w:r>
      <w:r>
        <w:rPr>
          <w:rFonts w:hint="default" w:ascii="仿宋" w:hAnsi="仿宋" w:eastAsia="仿宋" w:cs="仿宋"/>
          <w:bCs/>
          <w:sz w:val="32"/>
          <w:szCs w:val="32"/>
          <w:lang w:val="en-US" w:eastAsia="zh-CN"/>
        </w:rPr>
        <w:t>”</w:t>
      </w:r>
      <w:r>
        <w:rPr>
          <w:rFonts w:hint="eastAsia" w:ascii="仿宋" w:hAnsi="仿宋" w:eastAsia="仿宋" w:cs="仿宋"/>
          <w:bCs/>
          <w:sz w:val="32"/>
          <w:szCs w:val="32"/>
          <w:lang w:val="en-US" w:eastAsia="zh-CN"/>
        </w:rPr>
        <w:t>链接，可查看授权委托书模板。点击“开始办理”进入到项目信息填写页面。</w:t>
      </w:r>
    </w:p>
    <w:p w14:paraId="328FC689">
      <w:pPr>
        <w:jc w:val="center"/>
        <w:rPr>
          <w:rFonts w:hint="eastAsia" w:eastAsiaTheme="minorEastAsia"/>
          <w:lang w:eastAsia="zh-CN"/>
        </w:rPr>
      </w:pPr>
    </w:p>
    <w:p w14:paraId="016C0788">
      <w:pPr>
        <w:jc w:val="center"/>
        <w:rPr>
          <w:rFonts w:hint="eastAsia" w:eastAsiaTheme="minorEastAsia"/>
          <w:lang w:eastAsia="zh-CN"/>
        </w:rPr>
      </w:pPr>
      <w:r>
        <w:drawing>
          <wp:inline distT="0" distB="0" distL="114300" distR="114300">
            <wp:extent cx="2265045" cy="4845685"/>
            <wp:effectExtent l="0" t="0" r="20955" b="571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1"/>
                    <a:stretch>
                      <a:fillRect/>
                    </a:stretch>
                  </pic:blipFill>
                  <pic:spPr>
                    <a:xfrm>
                      <a:off x="0" y="0"/>
                      <a:ext cx="2265045" cy="4845685"/>
                    </a:xfrm>
                    <a:prstGeom prst="rect">
                      <a:avLst/>
                    </a:prstGeom>
                    <a:noFill/>
                    <a:ln>
                      <a:noFill/>
                    </a:ln>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640205" cy="4867910"/>
            <wp:effectExtent l="0" t="0" r="10795" b="8890"/>
            <wp:docPr id="32" name="图片 14" descr="6179099c754ab1c0f425733f4d10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6179099c754ab1c0f425733f4d10aad"/>
                    <pic:cNvPicPr>
                      <a:picLocks noChangeAspect="1"/>
                    </pic:cNvPicPr>
                  </pic:nvPicPr>
                  <pic:blipFill>
                    <a:blip r:embed="rId12"/>
                    <a:stretch>
                      <a:fillRect/>
                    </a:stretch>
                  </pic:blipFill>
                  <pic:spPr>
                    <a:xfrm>
                      <a:off x="0" y="0"/>
                      <a:ext cx="1640205" cy="4867910"/>
                    </a:xfrm>
                    <a:prstGeom prst="rect">
                      <a:avLst/>
                    </a:prstGeom>
                  </pic:spPr>
                </pic:pic>
              </a:graphicData>
            </a:graphic>
          </wp:inline>
        </w:drawing>
      </w:r>
    </w:p>
    <w:p w14:paraId="5EECCAC0">
      <w:pPr>
        <w:pStyle w:val="21"/>
        <w:numPr>
          <w:ilvl w:val="0"/>
          <w:numId w:val="0"/>
        </w:numPr>
        <w:ind w:firstLine="640" w:firstLineChars="200"/>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步骤二：选择要参与竞价申请的项目，若没有对应的项目，可以点击“绑定项目”添加所需的项目。</w:t>
      </w:r>
    </w:p>
    <w:p w14:paraId="3B149D55">
      <w:pPr>
        <w:pStyle w:val="2"/>
      </w:pPr>
    </w:p>
    <w:p w14:paraId="00C8A62D">
      <w:pPr>
        <w:pStyle w:val="2"/>
        <w:ind w:left="0" w:leftChars="0" w:firstLine="0" w:firstLineChars="0"/>
        <w:jc w:val="center"/>
      </w:pPr>
    </w:p>
    <w:p w14:paraId="31E0BB57">
      <w:pPr>
        <w:pStyle w:val="2"/>
        <w:ind w:left="0" w:leftChars="0" w:firstLine="0" w:firstLineChars="0"/>
        <w:jc w:val="center"/>
        <w:rPr>
          <w:rFonts w:hint="eastAsia" w:eastAsia="方正仿宋_GBK"/>
          <w:lang w:eastAsia="zh-CN"/>
        </w:rPr>
      </w:pPr>
      <w:r>
        <w:rPr>
          <w:rFonts w:hint="eastAsia" w:eastAsia="方正仿宋_GBK"/>
          <w:lang w:eastAsia="zh-CN"/>
        </w:rPr>
        <w:drawing>
          <wp:inline distT="0" distB="0" distL="114300" distR="114300">
            <wp:extent cx="1673860" cy="3583940"/>
            <wp:effectExtent l="0" t="0" r="2540" b="22860"/>
            <wp:docPr id="35" name="图片 15" descr="ebe617dbaecfb39ed290ec2e30fe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descr="ebe617dbaecfb39ed290ec2e30fe627"/>
                    <pic:cNvPicPr>
                      <a:picLocks noChangeAspect="1"/>
                    </pic:cNvPicPr>
                  </pic:nvPicPr>
                  <pic:blipFill>
                    <a:blip r:embed="rId13"/>
                    <a:stretch>
                      <a:fillRect/>
                    </a:stretch>
                  </pic:blipFill>
                  <pic:spPr>
                    <a:xfrm>
                      <a:off x="0" y="0"/>
                      <a:ext cx="1673860" cy="3583940"/>
                    </a:xfrm>
                    <a:prstGeom prst="rect">
                      <a:avLst/>
                    </a:prstGeom>
                  </pic:spPr>
                </pic:pic>
              </a:graphicData>
            </a:graphic>
          </wp:inline>
        </w:drawing>
      </w:r>
      <w:r>
        <w:rPr>
          <w:rFonts w:hint="eastAsia" w:eastAsia="方正仿宋_GBK"/>
          <w:lang w:eastAsia="zh-CN"/>
        </w:rPr>
        <w:drawing>
          <wp:inline distT="0" distB="0" distL="114300" distR="114300">
            <wp:extent cx="1680845" cy="3598545"/>
            <wp:effectExtent l="0" t="0" r="20955" b="8255"/>
            <wp:docPr id="38" name="图片 17" descr="a0e28e2261d1a40ba52e67a0a00e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descr="a0e28e2261d1a40ba52e67a0a00ec92"/>
                    <pic:cNvPicPr>
                      <a:picLocks noChangeAspect="1"/>
                    </pic:cNvPicPr>
                  </pic:nvPicPr>
                  <pic:blipFill>
                    <a:blip r:embed="rId14"/>
                    <a:stretch>
                      <a:fillRect/>
                    </a:stretch>
                  </pic:blipFill>
                  <pic:spPr>
                    <a:xfrm>
                      <a:off x="0" y="0"/>
                      <a:ext cx="1680845" cy="3598545"/>
                    </a:xfrm>
                    <a:prstGeom prst="rect">
                      <a:avLst/>
                    </a:prstGeom>
                  </pic:spPr>
                </pic:pic>
              </a:graphicData>
            </a:graphic>
          </wp:inline>
        </w:drawing>
      </w:r>
      <w:r>
        <w:rPr>
          <w:rFonts w:hint="eastAsia" w:eastAsia="方正仿宋_GBK"/>
          <w:lang w:eastAsia="zh-CN"/>
        </w:rPr>
        <w:drawing>
          <wp:inline distT="0" distB="0" distL="114300" distR="114300">
            <wp:extent cx="1676400" cy="3585845"/>
            <wp:effectExtent l="0" t="0" r="0" b="20955"/>
            <wp:docPr id="41" name="图片 19" descr="54d724e1209f90b2347ce56d72ba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54d724e1209f90b2347ce56d72ba70a"/>
                    <pic:cNvPicPr>
                      <a:picLocks noChangeAspect="1"/>
                    </pic:cNvPicPr>
                  </pic:nvPicPr>
                  <pic:blipFill>
                    <a:blip r:embed="rId15"/>
                    <a:stretch>
                      <a:fillRect/>
                    </a:stretch>
                  </pic:blipFill>
                  <pic:spPr>
                    <a:xfrm>
                      <a:off x="0" y="0"/>
                      <a:ext cx="1676400" cy="3585845"/>
                    </a:xfrm>
                    <a:prstGeom prst="rect">
                      <a:avLst/>
                    </a:prstGeom>
                  </pic:spPr>
                </pic:pic>
              </a:graphicData>
            </a:graphic>
          </wp:inline>
        </w:drawing>
      </w:r>
    </w:p>
    <w:p w14:paraId="209A6FA5">
      <w:pPr>
        <w:pStyle w:val="21"/>
        <w:numPr>
          <w:ilvl w:val="0"/>
          <w:numId w:val="0"/>
        </w:numP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在绑定项目页面输入备案文件项目代码或发电户编号查询项目信息，查出项目后，点击绑定项目。</w:t>
      </w:r>
    </w:p>
    <w:p w14:paraId="722D2E36">
      <w:pPr>
        <w:pStyle w:val="21"/>
        <w:numPr>
          <w:ilvl w:val="0"/>
          <w:numId w:val="0"/>
        </w:numPr>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drawing>
          <wp:inline distT="0" distB="0" distL="114300" distR="114300">
            <wp:extent cx="1597660" cy="3418840"/>
            <wp:effectExtent l="0" t="0" r="2540" b="10160"/>
            <wp:docPr id="44" name="图片 59" descr="微信图片_2025052316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9" descr="微信图片_20250523164820"/>
                    <pic:cNvPicPr>
                      <a:picLocks noChangeAspect="1"/>
                    </pic:cNvPicPr>
                  </pic:nvPicPr>
                  <pic:blipFill>
                    <a:blip r:embed="rId16"/>
                    <a:stretch>
                      <a:fillRect/>
                    </a:stretch>
                  </pic:blipFill>
                  <pic:spPr>
                    <a:xfrm>
                      <a:off x="0" y="0"/>
                      <a:ext cx="1597660" cy="3418840"/>
                    </a:xfrm>
                    <a:prstGeom prst="rect">
                      <a:avLst/>
                    </a:prstGeom>
                  </pic:spPr>
                </pic:pic>
              </a:graphicData>
            </a:graphic>
          </wp:inline>
        </w:drawing>
      </w:r>
      <w:r>
        <w:rPr>
          <w:rFonts w:hint="eastAsia" w:ascii="仿宋" w:hAnsi="仿宋" w:eastAsia="仿宋" w:cs="仿宋"/>
          <w:bCs/>
          <w:sz w:val="32"/>
          <w:szCs w:val="32"/>
          <w:lang w:val="en-US" w:eastAsia="zh-CN"/>
        </w:rPr>
        <w:drawing>
          <wp:inline distT="0" distB="0" distL="114300" distR="114300">
            <wp:extent cx="1594485" cy="3413125"/>
            <wp:effectExtent l="0" t="0" r="5715" b="15875"/>
            <wp:docPr id="47" name="图片 60" descr="微信图片_2025052316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0" descr="微信图片_20250523164821"/>
                    <pic:cNvPicPr>
                      <a:picLocks noChangeAspect="1"/>
                    </pic:cNvPicPr>
                  </pic:nvPicPr>
                  <pic:blipFill>
                    <a:blip r:embed="rId17"/>
                    <a:stretch>
                      <a:fillRect/>
                    </a:stretch>
                  </pic:blipFill>
                  <pic:spPr>
                    <a:xfrm>
                      <a:off x="0" y="0"/>
                      <a:ext cx="1594485" cy="3413125"/>
                    </a:xfrm>
                    <a:prstGeom prst="rect">
                      <a:avLst/>
                    </a:prstGeom>
                  </pic:spPr>
                </pic:pic>
              </a:graphicData>
            </a:graphic>
          </wp:inline>
        </w:drawing>
      </w:r>
      <w:r>
        <w:rPr>
          <w:rFonts w:hint="eastAsia" w:ascii="仿宋" w:hAnsi="仿宋" w:eastAsia="仿宋" w:cs="仿宋"/>
          <w:bCs/>
          <w:sz w:val="32"/>
          <w:szCs w:val="32"/>
          <w:lang w:val="en-US" w:eastAsia="zh-CN"/>
        </w:rPr>
        <w:drawing>
          <wp:inline distT="0" distB="0" distL="114300" distR="114300">
            <wp:extent cx="1592580" cy="3408045"/>
            <wp:effectExtent l="0" t="0" r="7620" b="20955"/>
            <wp:docPr id="50" name="图片 61" descr="微信图片_2025052316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1" descr="微信图片_20250523164822"/>
                    <pic:cNvPicPr>
                      <a:picLocks noChangeAspect="1"/>
                    </pic:cNvPicPr>
                  </pic:nvPicPr>
                  <pic:blipFill>
                    <a:blip r:embed="rId18"/>
                    <a:stretch>
                      <a:fillRect/>
                    </a:stretch>
                  </pic:blipFill>
                  <pic:spPr>
                    <a:xfrm>
                      <a:off x="0" y="0"/>
                      <a:ext cx="1592580" cy="3408045"/>
                    </a:xfrm>
                    <a:prstGeom prst="rect">
                      <a:avLst/>
                    </a:prstGeom>
                  </pic:spPr>
                </pic:pic>
              </a:graphicData>
            </a:graphic>
          </wp:inline>
        </w:drawing>
      </w:r>
    </w:p>
    <w:p w14:paraId="5BDD850E">
      <w:pPr>
        <w:pStyle w:val="21"/>
        <w:numPr>
          <w:ilvl w:val="0"/>
          <w:numId w:val="0"/>
        </w:numP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选择一个联系人发送验证码，接收并输入短信验证码，点击确定后即可绑定。</w:t>
      </w:r>
    </w:p>
    <w:p w14:paraId="6B84C269">
      <w:pPr>
        <w:pStyle w:val="21"/>
        <w:numPr>
          <w:ilvl w:val="0"/>
          <w:numId w:val="0"/>
        </w:numP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步骤三：进入到项目信息页面，选择“申请人身份”，上传申请资料。</w:t>
      </w:r>
    </w:p>
    <w:p w14:paraId="4248D158">
      <w:pPr>
        <w:pStyle w:val="21"/>
        <w:numPr>
          <w:ilvl w:val="0"/>
          <w:numId w:val="0"/>
        </w:numPr>
        <w:ind w:firstLine="640" w:firstLineChars="200"/>
        <w:rPr>
          <w:rFonts w:hint="default" w:ascii="仿宋" w:hAnsi="仿宋" w:eastAsia="仿宋" w:cs="仿宋"/>
          <w:bCs/>
          <w:sz w:val="32"/>
          <w:szCs w:val="32"/>
          <w:lang w:val="en-US" w:eastAsia="zh-CN"/>
        </w:rPr>
      </w:pPr>
      <w:r>
        <w:rPr>
          <w:rFonts w:hint="default" w:ascii="仿宋" w:hAnsi="仿宋" w:eastAsia="仿宋" w:cs="仿宋"/>
          <w:bCs/>
          <w:sz w:val="32"/>
          <w:szCs w:val="32"/>
          <w:lang w:val="en-US" w:eastAsia="zh-CN"/>
        </w:rPr>
        <w:drawing>
          <wp:inline distT="0" distB="0" distL="114300" distR="114300">
            <wp:extent cx="1207135" cy="8843010"/>
            <wp:effectExtent l="0" t="0" r="12065" b="21590"/>
            <wp:docPr id="53" name="图片 62" descr="微信图片_2025052316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2" descr="微信图片_20250523164919"/>
                    <pic:cNvPicPr>
                      <a:picLocks noChangeAspect="1"/>
                    </pic:cNvPicPr>
                  </pic:nvPicPr>
                  <pic:blipFill>
                    <a:blip r:embed="rId19"/>
                    <a:stretch>
                      <a:fillRect/>
                    </a:stretch>
                  </pic:blipFill>
                  <pic:spPr>
                    <a:xfrm>
                      <a:off x="0" y="0"/>
                      <a:ext cx="1207135" cy="8843010"/>
                    </a:xfrm>
                    <a:prstGeom prst="rect">
                      <a:avLst/>
                    </a:prstGeom>
                  </pic:spPr>
                </pic:pic>
              </a:graphicData>
            </a:graphic>
          </wp:inline>
        </w:drawing>
      </w:r>
    </w:p>
    <w:p w14:paraId="6F520DBF">
      <w:pPr>
        <w:pStyle w:val="21"/>
        <w:numPr>
          <w:ilvl w:val="0"/>
          <w:numId w:val="0"/>
        </w:numP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步骤四：在资料上传页面，上传户主身份证明资料、项目申报资料（包括自有住宅产权证明材料 、项目备案文件、并网调度协议、购售电合同、竞价信息填报承诺书、接入系统方案答复单等附件，注意各省有差异）。经办人办理的会展示经办人信息，但不可修改。</w:t>
      </w:r>
    </w:p>
    <w:p w14:paraId="0F4F4240">
      <w:pPr>
        <w:pStyle w:val="21"/>
        <w:numPr>
          <w:ilvl w:val="0"/>
          <w:numId w:val="0"/>
        </w:numPr>
        <w:pBdr>
          <w:bottom w:val="none" w:color="auto" w:sz="0" w:space="0"/>
        </w:pBd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步骤五：信息上传完毕后，点击“发送验证码”发送并输入验证码，点击“提交”后，系统将项目基础信息进行弹窗展示，供客户二次确认信息准确性，以免出现错误提交。</w:t>
      </w:r>
    </w:p>
    <w:p w14:paraId="2BA235A3">
      <w:pPr>
        <w:pStyle w:val="21"/>
        <w:numPr>
          <w:ilvl w:val="0"/>
          <w:numId w:val="0"/>
        </w:numPr>
        <w:ind w:firstLine="640" w:firstLineChars="200"/>
        <w:jc w:val="center"/>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drawing>
          <wp:inline distT="0" distB="0" distL="0" distR="0">
            <wp:extent cx="2449830" cy="5304790"/>
            <wp:effectExtent l="0" t="0" r="13970" b="3810"/>
            <wp:docPr id="56" name="picture" descr="descript"/>
            <wp:cNvGraphicFramePr/>
            <a:graphic xmlns:a="http://schemas.openxmlformats.org/drawingml/2006/main">
              <a:graphicData uri="http://schemas.openxmlformats.org/drawingml/2006/picture">
                <pic:pic xmlns:pic="http://schemas.openxmlformats.org/drawingml/2006/picture">
                  <pic:nvPicPr>
                    <pic:cNvPr id="56" name="picture" descr="descript"/>
                    <pic:cNvPicPr/>
                  </pic:nvPicPr>
                  <pic:blipFill>
                    <a:blip r:embed="rId20"/>
                    <a:stretch>
                      <a:fillRect/>
                    </a:stretch>
                  </pic:blipFill>
                  <pic:spPr>
                    <a:xfrm>
                      <a:off x="0" y="0"/>
                      <a:ext cx="2450062" cy="5304862"/>
                    </a:xfrm>
                    <a:prstGeom prst="rect">
                      <a:avLst/>
                    </a:prstGeom>
                  </pic:spPr>
                </pic:pic>
              </a:graphicData>
            </a:graphic>
          </wp:inline>
        </w:drawing>
      </w:r>
    </w:p>
    <w:p w14:paraId="4436DE2B">
      <w:pPr>
        <w:pStyle w:val="21"/>
        <w:numPr>
          <w:ilvl w:val="0"/>
          <w:numId w:val="0"/>
        </w:numP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其他：提交前，支持存草稿，存草稿后支持继续编辑。</w:t>
      </w:r>
    </w:p>
    <w:p w14:paraId="5E421BCA">
      <w:pPr>
        <w:pStyle w:val="21"/>
        <w:numPr>
          <w:ilvl w:val="0"/>
          <w:numId w:val="0"/>
        </w:numPr>
        <w:pBdr>
          <w:bottom w:val="none" w:color="auto" w:sz="0" w:space="0"/>
        </w:pBd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需要在竞价平台受理时间范围内提交，否则会提示错误。</w:t>
      </w:r>
    </w:p>
    <w:p w14:paraId="1AAC3D00">
      <w:pPr>
        <w:pStyle w:val="7"/>
        <w:numPr>
          <w:ilvl w:val="2"/>
          <w:numId w:val="1"/>
        </w:numPr>
        <w:bidi w:val="0"/>
        <w:rPr>
          <w:rFonts w:hint="eastAsia"/>
          <w:b/>
          <w:lang w:val="en-US" w:eastAsia="zh-CN"/>
        </w:rPr>
      </w:pPr>
      <w:bookmarkStart w:id="11" w:name="_Toc14523"/>
      <w:bookmarkStart w:id="12" w:name="_Toc1873713217"/>
      <w:r>
        <w:rPr>
          <w:rFonts w:hint="eastAsia"/>
          <w:b/>
          <w:lang w:val="en-US" w:eastAsia="zh-CN"/>
        </w:rPr>
        <w:t>工商业项目申请</w:t>
      </w:r>
      <w:bookmarkEnd w:id="11"/>
      <w:bookmarkEnd w:id="12"/>
    </w:p>
    <w:p w14:paraId="39D295F4">
      <w:pPr>
        <w:pStyle w:val="21"/>
        <w:numPr>
          <w:ilvl w:val="0"/>
          <w:numId w:val="0"/>
        </w:numPr>
        <w:ind w:firstLine="640" w:firstLineChars="200"/>
        <w:rPr>
          <w:rFonts w:hint="default" w:ascii="仿宋" w:hAnsi="仿宋" w:eastAsia="仿宋" w:cs="仿宋"/>
          <w:bCs/>
          <w:sz w:val="32"/>
          <w:szCs w:val="32"/>
          <w:lang w:val="en-US" w:eastAsia="zh-CN"/>
        </w:rPr>
      </w:pPr>
      <w:r>
        <w:rPr>
          <w:rFonts w:hint="default" w:ascii="仿宋" w:hAnsi="仿宋" w:eastAsia="仿宋" w:cs="仿宋"/>
          <w:bCs/>
          <w:sz w:val="32"/>
          <w:szCs w:val="32"/>
          <w:lang w:val="en-US" w:eastAsia="zh-CN"/>
        </w:rPr>
        <w:t>包括非自然人户用分布式项目、一般工商业分布式项目、大型工商业分布式项目，这三类项目收资要求一致。</w:t>
      </w:r>
      <w:r>
        <w:rPr>
          <w:rFonts w:hint="eastAsia" w:ascii="仿宋" w:hAnsi="仿宋" w:eastAsia="仿宋" w:cs="仿宋"/>
          <w:bCs/>
          <w:sz w:val="32"/>
          <w:szCs w:val="32"/>
          <w:lang w:val="en-US" w:eastAsia="zh-CN"/>
        </w:rPr>
        <w:t>工商业申请与自然人，非自然人等申请一致，不再做截图说明。以下为相关步骤信息。</w:t>
      </w:r>
    </w:p>
    <w:p w14:paraId="2624B2EA">
      <w:pPr>
        <w:pStyle w:val="21"/>
        <w:numPr>
          <w:ilvl w:val="0"/>
          <w:numId w:val="0"/>
        </w:numPr>
        <w:ind w:firstLine="640" w:firstLineChars="200"/>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步骤一：进入项目申请模块，展示业务介绍信息、业务申请所需的材料,根据省侧要求，不同省份展示不同的收资材料信息。点击“授权委托书”链接，可查看授权委托书模板。点击“开始办理”进入到项目信息填写页面。</w:t>
      </w:r>
    </w:p>
    <w:p w14:paraId="741A38D0">
      <w:pPr>
        <w:pStyle w:val="21"/>
        <w:numPr>
          <w:ilvl w:val="0"/>
          <w:numId w:val="0"/>
        </w:numP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步骤二：选择要参与竞价申请的项目，若没有对应的项目，可以点击“绑定项目”添加所需的项目。若项目较多可以点击分页进行查看。选择项目后跳转到下一步。</w:t>
      </w:r>
    </w:p>
    <w:p w14:paraId="7721AA1A">
      <w:pPr>
        <w:pStyle w:val="21"/>
        <w:numPr>
          <w:ilvl w:val="0"/>
          <w:numId w:val="0"/>
        </w:numPr>
        <w:ind w:firstLine="640" w:firstLineChars="200"/>
      </w:pPr>
      <w:r>
        <w:rPr>
          <w:rFonts w:hint="eastAsia" w:ascii="仿宋" w:hAnsi="仿宋" w:eastAsia="仿宋" w:cs="仿宋"/>
          <w:bCs/>
          <w:sz w:val="32"/>
          <w:szCs w:val="32"/>
          <w:lang w:val="en-US" w:eastAsia="zh-CN"/>
        </w:rPr>
        <w:t>步骤三：进入到项目信息页面，选择“申请人身份”，确认项目信息后点击“下一步”，跳转到资料上传页面。</w:t>
      </w:r>
    </w:p>
    <w:p w14:paraId="5AF9EADA">
      <w:pPr>
        <w:pStyle w:val="21"/>
        <w:numPr>
          <w:ilvl w:val="0"/>
          <w:numId w:val="0"/>
        </w:numP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步骤四：进入资料上传页面，上传法人身份证明资料、项目申报资料（包括项目备案文件、营业执照、项目所依托的房屋(设施)产权证、房屋租赁合同或合同能源管理协议 、设备供应发票、并网调度协议、竞价信息填报承诺书参考模板、购售电合同、接入系统设计方案报告研究答复单等，注意各省有差异）。经办人办理的会展示经办人信息，但不可修改。</w:t>
      </w:r>
    </w:p>
    <w:p w14:paraId="0A3B8899">
      <w:pPr>
        <w:pStyle w:val="21"/>
        <w:numPr>
          <w:ilvl w:val="0"/>
          <w:numId w:val="0"/>
        </w:numP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步骤五：信息上传完毕后，点击“发送验证码”发送并输入验证码，点击“提交”后，系统将项目基础信息进行弹窗展示，供客户二次确认信息准确性，以免出现错误提交。</w:t>
      </w:r>
    </w:p>
    <w:p w14:paraId="3045AFD0">
      <w:pPr>
        <w:pStyle w:val="21"/>
        <w:numPr>
          <w:ilvl w:val="0"/>
          <w:numId w:val="0"/>
        </w:numPr>
        <w:pBdr>
          <w:bottom w:val="none" w:color="auto" w:sz="0" w:space="0"/>
        </w:pBd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其他：提交前，支持存草稿，存草稿后支持继续编辑。需要在竞价平台受理时间范围内提交，否则会提示错误。</w:t>
      </w:r>
    </w:p>
    <w:p w14:paraId="162B5C82">
      <w:pPr>
        <w:pStyle w:val="7"/>
        <w:numPr>
          <w:ilvl w:val="2"/>
          <w:numId w:val="1"/>
        </w:numPr>
        <w:bidi w:val="0"/>
        <w:rPr>
          <w:rFonts w:hint="eastAsia"/>
          <w:b/>
          <w:lang w:val="en-US" w:eastAsia="zh-CN"/>
        </w:rPr>
      </w:pPr>
      <w:bookmarkStart w:id="13" w:name="_Toc11338"/>
      <w:bookmarkStart w:id="14" w:name="_Toc797838511"/>
      <w:r>
        <w:rPr>
          <w:rFonts w:hint="eastAsia"/>
          <w:b/>
          <w:lang w:val="en-US" w:eastAsia="zh-CN"/>
        </w:rPr>
        <w:t>分布式代理商项目申请</w:t>
      </w:r>
      <w:bookmarkEnd w:id="13"/>
      <w:bookmarkEnd w:id="14"/>
    </w:p>
    <w:p w14:paraId="2099FC92">
      <w:pPr>
        <w:pStyle w:val="21"/>
        <w:numPr>
          <w:ilvl w:val="0"/>
          <w:numId w:val="0"/>
        </w:numP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步骤一：进入分布式代理商项目申请模块，展示业务介绍信息、业务申请所需的材料,根据省侧要求，不同省份展示不同的收资材料信息。点击“授权委托书”链接，可查看授权委托书模板。点击“开始办理”进入到项目信息填写页面。</w:t>
      </w:r>
    </w:p>
    <w:p w14:paraId="7F70480A">
      <w:pPr>
        <w:pStyle w:val="21"/>
        <w:numPr>
          <w:ilvl w:val="0"/>
          <w:numId w:val="0"/>
        </w:numPr>
        <w:ind w:firstLine="640" w:firstLineChars="200"/>
      </w:pPr>
      <w:r>
        <w:rPr>
          <w:rFonts w:hint="eastAsia" w:ascii="仿宋" w:hAnsi="仿宋" w:eastAsia="仿宋" w:cs="仿宋"/>
          <w:bCs/>
          <w:sz w:val="32"/>
          <w:szCs w:val="32"/>
          <w:lang w:val="en-US" w:eastAsia="zh-CN"/>
        </w:rPr>
        <w:t>步骤二：选择代理项目集，若没有目标项目，可以先到分布式光伏竞价代理商模块维护。</w:t>
      </w:r>
    </w:p>
    <w:p w14:paraId="72C0C79C">
      <w:pPr>
        <w:pStyle w:val="3"/>
        <w:ind w:firstLine="640" w:firstLineChars="200"/>
        <w:rPr>
          <w:rFonts w:hint="eastAsia"/>
          <w:lang w:val="en-US" w:eastAsia="zh-CN"/>
        </w:rPr>
      </w:pPr>
      <w:r>
        <w:rPr>
          <w:rFonts w:hint="eastAsia" w:ascii="仿宋" w:hAnsi="仿宋" w:eastAsia="仿宋" w:cs="仿宋"/>
          <w:bCs/>
          <w:kern w:val="2"/>
          <w:sz w:val="32"/>
          <w:szCs w:val="32"/>
          <w:lang w:val="en-US" w:eastAsia="zh-CN" w:bidi="ar-SA"/>
        </w:rPr>
        <w:t>步骤三：选择项目集合中的项目，若没有对应的项目，可以点击“绑定项目”添加所需的项目，选择项目后跳转到下一步。</w:t>
      </w:r>
    </w:p>
    <w:p w14:paraId="140FAB21">
      <w:pPr>
        <w:pStyle w:val="21"/>
        <w:numPr>
          <w:ilvl w:val="0"/>
          <w:numId w:val="0"/>
        </w:numPr>
        <w:ind w:firstLine="640" w:firstLineChars="200"/>
      </w:pPr>
      <w:r>
        <w:rPr>
          <w:rFonts w:hint="eastAsia" w:ascii="仿宋" w:hAnsi="仿宋" w:eastAsia="仿宋" w:cs="仿宋"/>
          <w:bCs/>
          <w:sz w:val="32"/>
          <w:szCs w:val="32"/>
          <w:lang w:val="en-US" w:eastAsia="zh-CN"/>
        </w:rPr>
        <w:t>步骤四：进入到项目信息页面，确认项目信息后点击“下一步”，跳转到资料上传页面。</w:t>
      </w:r>
    </w:p>
    <w:p w14:paraId="72DBB568">
      <w:pPr>
        <w:pStyle w:val="21"/>
        <w:numPr>
          <w:ilvl w:val="0"/>
          <w:numId w:val="0"/>
        </w:numPr>
        <w:pBdr>
          <w:bottom w:val="none" w:color="auto" w:sz="0" w:space="0"/>
        </w:pBd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步骤五：进入资料上传页面，上传户主或法人身份证明资料、项目申报资料（自然人项目包括自有住宅产权证明材料 、项目备案文件、并网调度协议、购售电合同、竞价信息填报承诺书、接入系统方案答复单、竞价代理协议；工商业项目包括项目备案文件、营业执照、项目所依托的房屋(设施)产权证 、房屋租赁合同或合同能源管理协议、设备供应发票、并网调度协议、竞价信息填报承诺书、购售电合同、接入系统设计方案报告研究答复单 、代理商信息（回显不可修改，注意各省有差异）。经办人办理的会展示经办人信息，但不可修改。信息上传完毕后，点击“发送验证码”发送并输入验证码，点击“提交”后，系统将项目基础信息进行弹窗展示，供客户二次确认信息准确性，以免出现错误提交。</w:t>
      </w:r>
    </w:p>
    <w:p w14:paraId="2D7EAF86">
      <w:pPr>
        <w:pStyle w:val="21"/>
        <w:numPr>
          <w:ilvl w:val="0"/>
          <w:numId w:val="0"/>
        </w:numPr>
        <w:pBdr>
          <w:bottom w:val="none" w:color="auto" w:sz="0" w:space="0"/>
        </w:pBd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其他：提交前，支持存草稿，存草稿后支持继续编辑。需要在竞价平台受理时间范围内提交，否则会提示错误。</w:t>
      </w:r>
    </w:p>
    <w:p w14:paraId="154A9BAB">
      <w:pPr>
        <w:pStyle w:val="6"/>
        <w:numPr>
          <w:ilvl w:val="1"/>
          <w:numId w:val="1"/>
        </w:numPr>
        <w:bidi w:val="0"/>
        <w:rPr>
          <w:rFonts w:hint="eastAsia" w:ascii="仿宋_GB2312" w:hAnsi="仿宋_GB2312" w:eastAsia="仿宋_GB2312" w:cs="仿宋_GB2312"/>
          <w:sz w:val="32"/>
          <w:szCs w:val="32"/>
          <w:lang w:val="en-US" w:eastAsia="zh-CN"/>
        </w:rPr>
      </w:pPr>
      <w:bookmarkStart w:id="15" w:name="_Toc383962509"/>
      <w:r>
        <w:rPr>
          <w:rFonts w:hint="eastAsia" w:ascii="仿宋_GB2312" w:hAnsi="仿宋_GB2312" w:eastAsia="仿宋_GB2312" w:cs="仿宋_GB2312"/>
          <w:sz w:val="32"/>
          <w:szCs w:val="32"/>
          <w:lang w:val="en-US" w:eastAsia="zh-CN"/>
        </w:rPr>
        <w:t>竞价专区</w:t>
      </w:r>
      <w:bookmarkEnd w:id="7"/>
      <w:r>
        <w:rPr>
          <w:rFonts w:hint="eastAsia" w:ascii="仿宋_GB2312" w:hAnsi="仿宋_GB2312" w:eastAsia="仿宋_GB2312" w:cs="仿宋_GB2312"/>
          <w:sz w:val="32"/>
          <w:szCs w:val="32"/>
          <w:lang w:val="en-US" w:eastAsia="zh-CN"/>
        </w:rPr>
        <w:t>公示公告</w:t>
      </w:r>
      <w:bookmarkEnd w:id="15"/>
    </w:p>
    <w:p w14:paraId="35B35854">
      <w:pPr>
        <w:pStyle w:val="21"/>
        <w:ind w:left="0" w:leftChars="0" w:firstLine="640" w:firstLineChars="200"/>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进入新能源竞价服务专区首页，可查看公示公告，供新能源项目业主、代理商获取竞价公告信息。点击右上角省份选择，可按省份展示对应地市的公示公告。</w:t>
      </w:r>
    </w:p>
    <w:p w14:paraId="3624095C">
      <w:pPr>
        <w:pStyle w:val="21"/>
        <w:numPr>
          <w:ilvl w:val="0"/>
          <w:numId w:val="0"/>
        </w:numPr>
        <w:ind w:firstLine="640" w:firstLineChars="200"/>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 xml:space="preserve">提供竞价服务各项功能入口：点击“竞价项目信息填报”、“提交履约保函”、“报量报价”、“竞价代理商”“签署差价结算协议”、“查询机制信息”等图标可跳转到对应的页面，办理相关业务。 </w:t>
      </w:r>
    </w:p>
    <w:p w14:paraId="306C4D85">
      <w:pPr>
        <w:pStyle w:val="21"/>
        <w:numPr>
          <w:ilvl w:val="0"/>
          <w:numId w:val="0"/>
        </w:numPr>
        <w:jc w:val="center"/>
        <w:rPr>
          <w:rFonts w:hint="default" w:ascii="仿宋" w:hAnsi="仿宋" w:eastAsia="仿宋" w:cs="仿宋"/>
          <w:bCs/>
          <w:sz w:val="32"/>
          <w:szCs w:val="32"/>
          <w:lang w:val="en-US" w:eastAsia="zh-CN"/>
        </w:rPr>
      </w:pPr>
    </w:p>
    <w:p w14:paraId="5EE44188">
      <w:pPr>
        <w:pStyle w:val="7"/>
        <w:numPr>
          <w:ilvl w:val="2"/>
          <w:numId w:val="1"/>
        </w:numPr>
        <w:bidi w:val="0"/>
        <w:rPr>
          <w:rFonts w:hint="eastAsia"/>
          <w:lang w:val="en-US" w:eastAsia="zh-CN"/>
        </w:rPr>
      </w:pPr>
      <w:bookmarkStart w:id="16" w:name="_Toc6015"/>
      <w:bookmarkStart w:id="17" w:name="_Toc69529528"/>
      <w:r>
        <w:rPr>
          <w:rFonts w:hint="eastAsia"/>
          <w:lang w:val="en-US" w:eastAsia="zh-CN"/>
        </w:rPr>
        <w:t>查看公示公告详情</w:t>
      </w:r>
      <w:bookmarkEnd w:id="16"/>
      <w:bookmarkEnd w:id="17"/>
    </w:p>
    <w:p w14:paraId="39444C4F">
      <w:pPr>
        <w:pStyle w:val="21"/>
        <w:numPr>
          <w:ilvl w:val="0"/>
          <w:numId w:val="0"/>
        </w:numPr>
        <w:ind w:firstLine="640" w:firstLineChars="200"/>
        <w:rPr>
          <w:rFonts w:hint="eastAsia" w:ascii="仿宋" w:hAnsi="仿宋" w:eastAsia="仿宋" w:cs="仿宋"/>
          <w:bCs/>
          <w:sz w:val="32"/>
          <w:szCs w:val="32"/>
          <w:lang w:val="en-US" w:eastAsia="zh-CN"/>
        </w:rPr>
      </w:pPr>
      <w:r>
        <w:rPr>
          <w:rFonts w:hint="eastAsia" w:ascii="仿宋" w:hAnsi="仿宋" w:eastAsia="仿宋" w:cs="仿宋"/>
          <w:bCs/>
          <w:sz w:val="32"/>
          <w:szCs w:val="32"/>
          <w:lang w:val="en-US" w:eastAsia="zh-CN"/>
        </w:rPr>
        <w:t>在公示公告列表中，点击其中一条公告，可查看公告详情。详情页点击左上角返回图标可返回到新能源竞价服务专区首页，如下图所示。</w:t>
      </w:r>
    </w:p>
    <w:p w14:paraId="288A3FE7">
      <w:pPr>
        <w:pStyle w:val="21"/>
        <w:numPr>
          <w:ilvl w:val="0"/>
          <w:numId w:val="0"/>
        </w:numPr>
        <w:ind w:firstLine="640" w:firstLineChars="200"/>
        <w:jc w:val="center"/>
        <w:rPr>
          <w:rFonts w:hint="eastAsia"/>
          <w:lang w:val="en-US" w:eastAsia="zh-CN"/>
        </w:rPr>
      </w:pPr>
      <w:r>
        <w:rPr>
          <w:rFonts w:hint="default" w:ascii="仿宋" w:hAnsi="仿宋" w:eastAsia="仿宋" w:cs="仿宋"/>
          <w:bCs/>
          <w:sz w:val="32"/>
          <w:szCs w:val="32"/>
          <w:lang w:val="en-US" w:eastAsia="zh-CN"/>
        </w:rPr>
        <w:drawing>
          <wp:inline distT="0" distB="0" distL="114300" distR="114300">
            <wp:extent cx="1779905" cy="3851910"/>
            <wp:effectExtent l="0" t="0" r="23495" b="8890"/>
            <wp:docPr id="6" name="图片 6" descr="IMG_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015"/>
                    <pic:cNvPicPr>
                      <a:picLocks noChangeAspect="1"/>
                    </pic:cNvPicPr>
                  </pic:nvPicPr>
                  <pic:blipFill>
                    <a:blip r:embed="rId21"/>
                    <a:stretch>
                      <a:fillRect/>
                    </a:stretch>
                  </pic:blipFill>
                  <pic:spPr>
                    <a:xfrm>
                      <a:off x="0" y="0"/>
                      <a:ext cx="1779905" cy="3851910"/>
                    </a:xfrm>
                    <a:prstGeom prst="rect">
                      <a:avLst/>
                    </a:prstGeom>
                  </pic:spPr>
                </pic:pic>
              </a:graphicData>
            </a:graphic>
          </wp:inline>
        </w:drawing>
      </w:r>
    </w:p>
    <w:p w14:paraId="7E0A51C3">
      <w:pPr>
        <w:pStyle w:val="7"/>
        <w:numPr>
          <w:ilvl w:val="2"/>
          <w:numId w:val="1"/>
        </w:numPr>
        <w:bidi w:val="0"/>
        <w:rPr>
          <w:rFonts w:hint="eastAsia"/>
          <w:lang w:val="en-US" w:eastAsia="zh-CN"/>
        </w:rPr>
      </w:pPr>
      <w:bookmarkStart w:id="18" w:name="_Toc20322"/>
      <w:bookmarkStart w:id="19" w:name="_Toc351673128"/>
      <w:r>
        <w:rPr>
          <w:rFonts w:hint="eastAsia"/>
          <w:lang w:val="en-US" w:eastAsia="zh-CN"/>
        </w:rPr>
        <w:t>资质申请审核结果公示-项目清单</w:t>
      </w:r>
      <w:bookmarkEnd w:id="18"/>
      <w:bookmarkEnd w:id="19"/>
    </w:p>
    <w:p w14:paraId="4D6004F5">
      <w:pPr>
        <w:pStyle w:val="21"/>
        <w:numPr>
          <w:ilvl w:val="0"/>
          <w:numId w:val="0"/>
        </w:numPr>
        <w:ind w:firstLine="640" w:firstLineChars="200"/>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点击公示公告列表中的“资质申请审核结果公示-项目清单”，进入资质申请审核项目清单页面，如下图所示。</w:t>
      </w:r>
    </w:p>
    <w:p w14:paraId="188B41C2">
      <w:pPr>
        <w:pStyle w:val="21"/>
        <w:numPr>
          <w:ilvl w:val="0"/>
          <w:numId w:val="0"/>
        </w:numPr>
        <w:jc w:val="center"/>
        <w:rPr>
          <w:rFonts w:hint="eastAsia" w:ascii="仿宋" w:hAnsi="仿宋" w:eastAsia="仿宋" w:cs="仿宋"/>
          <w:bCs/>
          <w:sz w:val="32"/>
          <w:szCs w:val="32"/>
          <w:lang w:val="en-US" w:eastAsia="zh-CN"/>
        </w:rPr>
      </w:pPr>
      <w:r>
        <w:drawing>
          <wp:inline distT="0" distB="0" distL="114300" distR="114300">
            <wp:extent cx="1750060" cy="3789045"/>
            <wp:effectExtent l="0" t="0" r="2540" b="209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2"/>
                    <a:stretch>
                      <a:fillRect/>
                    </a:stretch>
                  </pic:blipFill>
                  <pic:spPr>
                    <a:xfrm>
                      <a:off x="0" y="0"/>
                      <a:ext cx="1750060" cy="3789045"/>
                    </a:xfrm>
                    <a:prstGeom prst="rect">
                      <a:avLst/>
                    </a:prstGeom>
                    <a:noFill/>
                    <a:ln>
                      <a:noFill/>
                    </a:ln>
                  </pic:spPr>
                </pic:pic>
              </a:graphicData>
            </a:graphic>
          </wp:inline>
        </w:drawing>
      </w:r>
    </w:p>
    <w:p w14:paraId="195A2F16">
      <w:pPr>
        <w:pStyle w:val="2"/>
        <w:numPr>
          <w:ilvl w:val="0"/>
          <w:numId w:val="0"/>
        </w:numPr>
        <w:ind w:firstLine="640" w:firstLineChars="200"/>
        <w:rPr>
          <w:rFonts w:hint="default" w:ascii="仿宋" w:hAnsi="仿宋" w:eastAsia="仿宋" w:cs="仿宋"/>
          <w:bCs/>
          <w:kern w:val="2"/>
          <w:sz w:val="32"/>
          <w:szCs w:val="32"/>
          <w:lang w:val="en-US" w:eastAsia="zh-CN" w:bidi="ar-SA"/>
        </w:rPr>
      </w:pPr>
      <w:r>
        <w:rPr>
          <w:rFonts w:hint="eastAsia" w:ascii="仿宋" w:hAnsi="仿宋" w:eastAsia="仿宋" w:cs="仿宋"/>
          <w:bCs/>
          <w:sz w:val="32"/>
          <w:szCs w:val="32"/>
          <w:lang w:val="en-US" w:eastAsia="zh-CN"/>
        </w:rPr>
        <w:t>在资质申请审核项目清单页，支持展示通过资质审核的项目清单，支持模糊搜索项目。</w:t>
      </w:r>
    </w:p>
    <w:p w14:paraId="02840B9E">
      <w:pPr>
        <w:pStyle w:val="7"/>
        <w:numPr>
          <w:ilvl w:val="2"/>
          <w:numId w:val="1"/>
        </w:numPr>
        <w:bidi w:val="0"/>
        <w:rPr>
          <w:rFonts w:hint="eastAsia"/>
          <w:lang w:val="en-US" w:eastAsia="zh-CN"/>
        </w:rPr>
      </w:pPr>
      <w:bookmarkStart w:id="20" w:name="_Toc695265752"/>
      <w:bookmarkStart w:id="21" w:name="_Toc29044"/>
      <w:r>
        <w:rPr>
          <w:rFonts w:hint="eastAsia"/>
          <w:lang w:val="en-US" w:eastAsia="zh-CN"/>
        </w:rPr>
        <w:t>竞价结果公示-项目清单</w:t>
      </w:r>
      <w:bookmarkEnd w:id="20"/>
      <w:bookmarkEnd w:id="21"/>
    </w:p>
    <w:p w14:paraId="37E1BD14">
      <w:pPr>
        <w:pStyle w:val="21"/>
        <w:numPr>
          <w:ilvl w:val="0"/>
          <w:numId w:val="0"/>
        </w:numPr>
        <w:ind w:firstLine="640" w:firstLineChars="200"/>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点击公示公告列表中的“竞价结果公示-项目清单”，进入竞价结果项目清单页面，如下图所示。</w:t>
      </w:r>
    </w:p>
    <w:p w14:paraId="5E47B4EB">
      <w:pPr>
        <w:jc w:val="center"/>
      </w:pPr>
      <w:r>
        <w:drawing>
          <wp:inline distT="0" distB="0" distL="114300" distR="114300">
            <wp:extent cx="1942465" cy="4203700"/>
            <wp:effectExtent l="0" t="0" r="13335" b="127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2"/>
                    <a:stretch>
                      <a:fillRect/>
                    </a:stretch>
                  </pic:blipFill>
                  <pic:spPr>
                    <a:xfrm>
                      <a:off x="0" y="0"/>
                      <a:ext cx="1942465" cy="4203700"/>
                    </a:xfrm>
                    <a:prstGeom prst="rect">
                      <a:avLst/>
                    </a:prstGeom>
                    <a:noFill/>
                    <a:ln>
                      <a:noFill/>
                    </a:ln>
                  </pic:spPr>
                </pic:pic>
              </a:graphicData>
            </a:graphic>
          </wp:inline>
        </w:drawing>
      </w:r>
    </w:p>
    <w:p w14:paraId="70F6A3EE">
      <w:pPr>
        <w:pStyle w:val="2"/>
        <w:numPr>
          <w:ilvl w:val="0"/>
          <w:numId w:val="0"/>
        </w:numPr>
        <w:ind w:firstLine="640" w:firstLineChars="200"/>
        <w:rPr>
          <w:rFonts w:hint="default" w:eastAsiaTheme="minorEastAsia"/>
          <w:lang w:val="en-US" w:eastAsia="zh-CN"/>
        </w:rPr>
      </w:pPr>
      <w:r>
        <w:rPr>
          <w:rFonts w:hint="eastAsia" w:ascii="仿宋" w:hAnsi="仿宋" w:eastAsia="仿宋" w:cs="仿宋"/>
          <w:bCs/>
          <w:sz w:val="32"/>
          <w:szCs w:val="32"/>
          <w:lang w:val="en-US" w:eastAsia="zh-CN"/>
        </w:rPr>
        <w:t>在竞价结果项目清单页面，支持展示竞价成功的项目清单，支持模糊搜索项目。</w:t>
      </w:r>
      <w:r>
        <w:rPr>
          <w:rFonts w:hint="eastAsia" w:ascii="仿宋" w:hAnsi="仿宋" w:eastAsia="仿宋" w:cs="仿宋"/>
          <w:bCs/>
          <w:kern w:val="2"/>
          <w:sz w:val="32"/>
          <w:szCs w:val="32"/>
          <w:lang w:val="en-US" w:eastAsia="zh-CN" w:bidi="ar-SA"/>
        </w:rPr>
        <w:t>公示期间支持用户对单个项目发起举报，点击“举报”按钮可提交佐证材料，在公示期内用户对某个项目只能发起一次举报，可举报多个项目。</w:t>
      </w:r>
    </w:p>
    <w:p w14:paraId="53D97B26">
      <w:pPr>
        <w:pStyle w:val="6"/>
        <w:numPr>
          <w:ilvl w:val="1"/>
          <w:numId w:val="1"/>
        </w:numPr>
        <w:bidi w:val="0"/>
        <w:rPr>
          <w:rFonts w:hint="default" w:ascii="仿宋_GB2312" w:hAnsi="仿宋_GB2312" w:eastAsia="仿宋_GB2312" w:cs="仿宋_GB2312"/>
          <w:sz w:val="32"/>
          <w:szCs w:val="32"/>
          <w:lang w:val="en-US" w:eastAsia="zh-CN"/>
        </w:rPr>
      </w:pPr>
      <w:bookmarkStart w:id="22" w:name="_Toc14610"/>
      <w:bookmarkStart w:id="23" w:name="_Toc872970537"/>
      <w:r>
        <w:rPr>
          <w:rFonts w:hint="eastAsia" w:ascii="仿宋_GB2312" w:hAnsi="仿宋_GB2312" w:eastAsia="仿宋_GB2312" w:cs="仿宋_GB2312"/>
          <w:sz w:val="32"/>
          <w:szCs w:val="32"/>
          <w:lang w:val="en-US" w:eastAsia="zh-CN"/>
        </w:rPr>
        <w:t>申请记录</w:t>
      </w:r>
      <w:bookmarkEnd w:id="22"/>
      <w:bookmarkEnd w:id="23"/>
    </w:p>
    <w:p w14:paraId="1F2D881B">
      <w:pPr>
        <w:pStyle w:val="21"/>
        <w:numPr>
          <w:ilvl w:val="0"/>
          <w:numId w:val="0"/>
        </w:numPr>
        <w:ind w:firstLine="640" w:firstLineChars="200"/>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点击“申请记录”，进入申请记录页面。可分别查看单个项目申请记录和代理商项目申请记录。</w:t>
      </w:r>
    </w:p>
    <w:p w14:paraId="12EB664E">
      <w:pPr>
        <w:pStyle w:val="7"/>
        <w:numPr>
          <w:ilvl w:val="2"/>
          <w:numId w:val="1"/>
        </w:numPr>
        <w:bidi w:val="0"/>
        <w:rPr>
          <w:rFonts w:hint="eastAsia"/>
          <w:b/>
          <w:lang w:val="en-US" w:eastAsia="zh-CN"/>
        </w:rPr>
      </w:pPr>
      <w:bookmarkStart w:id="24" w:name="_Toc407539055"/>
      <w:r>
        <w:rPr>
          <w:rFonts w:hint="eastAsia"/>
          <w:b/>
          <w:lang w:val="en-US" w:eastAsia="zh-CN"/>
        </w:rPr>
        <w:t>单项目申请</w:t>
      </w:r>
      <w:bookmarkEnd w:id="24"/>
    </w:p>
    <w:p w14:paraId="26DBC92F">
      <w:pPr>
        <w:pStyle w:val="21"/>
        <w:numPr>
          <w:ilvl w:val="0"/>
          <w:numId w:val="0"/>
        </w:numPr>
        <w:ind w:firstLine="640" w:firstLineChars="200"/>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点击“单项目申请”，展示单项目申请的项目，点击其中一个项目可进入进度详情页面，如下图所示。</w:t>
      </w:r>
    </w:p>
    <w:p w14:paraId="4E8CEEEE">
      <w:pPr>
        <w:rPr>
          <w:rFonts w:hint="eastAsia" w:eastAsiaTheme="minorEastAsia"/>
          <w:lang w:eastAsia="zh-CN"/>
        </w:rPr>
      </w:pPr>
      <w:r>
        <w:drawing>
          <wp:inline distT="0" distB="0" distL="114300" distR="114300">
            <wp:extent cx="1558290" cy="3373120"/>
            <wp:effectExtent l="0" t="0" r="16510"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1558290" cy="3373120"/>
                    </a:xfrm>
                    <a:prstGeom prst="rect">
                      <a:avLst/>
                    </a:prstGeom>
                    <a:noFill/>
                    <a:ln>
                      <a:noFill/>
                    </a:ln>
                  </pic:spPr>
                </pic:pic>
              </a:graphicData>
            </a:graphic>
          </wp:inline>
        </w:drawing>
      </w:r>
      <w:r>
        <w:drawing>
          <wp:inline distT="0" distB="0" distL="114300" distR="114300">
            <wp:extent cx="1559560" cy="3375660"/>
            <wp:effectExtent l="0" t="0" r="15240" b="254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4"/>
                    <a:stretch>
                      <a:fillRect/>
                    </a:stretch>
                  </pic:blipFill>
                  <pic:spPr>
                    <a:xfrm>
                      <a:off x="0" y="0"/>
                      <a:ext cx="1559560" cy="3375660"/>
                    </a:xfrm>
                    <a:prstGeom prst="rect">
                      <a:avLst/>
                    </a:prstGeom>
                    <a:noFill/>
                    <a:ln>
                      <a:noFill/>
                    </a:ln>
                  </pic:spPr>
                </pic:pic>
              </a:graphicData>
            </a:graphic>
          </wp:inline>
        </w:drawing>
      </w:r>
      <w:r>
        <w:drawing>
          <wp:inline distT="0" distB="0" distL="114300" distR="114300">
            <wp:extent cx="1544320" cy="3345180"/>
            <wp:effectExtent l="0" t="0" r="5080" b="762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5"/>
                    <a:stretch>
                      <a:fillRect/>
                    </a:stretch>
                  </pic:blipFill>
                  <pic:spPr>
                    <a:xfrm>
                      <a:off x="0" y="0"/>
                      <a:ext cx="1544320" cy="3345180"/>
                    </a:xfrm>
                    <a:prstGeom prst="rect">
                      <a:avLst/>
                    </a:prstGeom>
                    <a:noFill/>
                    <a:ln>
                      <a:noFill/>
                    </a:ln>
                  </pic:spPr>
                </pic:pic>
              </a:graphicData>
            </a:graphic>
          </wp:inline>
        </w:drawing>
      </w:r>
    </w:p>
    <w:p w14:paraId="6EF1C636">
      <w:pPr>
        <w:pStyle w:val="21"/>
        <w:numPr>
          <w:ilvl w:val="0"/>
          <w:numId w:val="0"/>
        </w:numPr>
        <w:ind w:firstLine="640" w:firstLineChars="200"/>
        <w:rPr>
          <w:rFonts w:hint="default" w:ascii="仿宋" w:hAnsi="仿宋" w:eastAsia="仿宋" w:cs="仿宋"/>
          <w:bCs/>
          <w:sz w:val="32"/>
          <w:szCs w:val="32"/>
          <w:lang w:val="en-US" w:eastAsia="zh-CN"/>
        </w:rPr>
      </w:pPr>
      <w:r>
        <w:rPr>
          <w:rFonts w:hint="eastAsia" w:ascii="仿宋" w:hAnsi="仿宋" w:eastAsia="仿宋" w:cs="仿宋"/>
          <w:bCs/>
          <w:sz w:val="32"/>
          <w:szCs w:val="32"/>
          <w:lang w:val="en-US" w:eastAsia="zh-CN"/>
        </w:rPr>
        <w:t>在进度详情页可查看项目信息和进度详情，包括竞价项目信息填报、提交履约保函和报量报价三个阶段的进度及状态。</w:t>
      </w:r>
    </w:p>
    <w:p w14:paraId="528656BE">
      <w:pPr>
        <w:pStyle w:val="2"/>
        <w:ind w:left="0" w:leftChars="0" w:firstLine="0" w:firstLineChars="0"/>
        <w:rPr>
          <w:rFonts w:hint="default"/>
          <w:lang w:val="en-US" w:eastAsia="zh-CN"/>
        </w:rPr>
      </w:pPr>
    </w:p>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楷体_GB2312">
    <w:altName w:val="汉仪楷体简"/>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Helvetica">
    <w:panose1 w:val="00000000000000000000"/>
    <w:charset w:val="00"/>
    <w:family w:val="auto"/>
    <w:pitch w:val="default"/>
    <w:sig w:usb0="E00002FF" w:usb1="5000785B"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汉仪楷体简">
    <w:panose1 w:val="02010600000101010101"/>
    <w:charset w:val="86"/>
    <w:family w:val="auto"/>
    <w:pitch w:val="default"/>
    <w:sig w:usb0="00000001" w:usb1="080E0800" w:usb2="00000002" w:usb3="00000000" w:csb0="00040000" w:csb1="00000000"/>
  </w:font>
  <w:font w:name="Kingsoft Sign">
    <w:panose1 w:val="05050102010706020507"/>
    <w:charset w:val="00"/>
    <w:family w:val="auto"/>
    <w:pitch w:val="default"/>
    <w:sig w:usb0="00000000" w:usb1="10000000" w:usb2="00000000" w:usb3="00000000" w:csb0="0000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1B9DE">
    <w:pPr>
      <w:pStyle w:val="12"/>
      <w:rPr>
        <w:rFonts w:hint="eastAsia"/>
        <w:lang w:val="en-US" w:eastAsia="zh-CN"/>
      </w:rPr>
    </w:pPr>
    <w:r>
      <w:rPr>
        <w:rFonts w:hint="eastAsia"/>
        <w:lang w:val="en-US" w:eastAsia="zh-CN"/>
      </w:rPr>
      <w:t xml:space="preserve">                                                       </w:t>
    </w:r>
  </w:p>
  <w:p w14:paraId="6A349AA4">
    <w:pPr>
      <w:pStyle w:val="12"/>
      <w:jc w:val="right"/>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7D164B"/>
    <w:multiLevelType w:val="singleLevel"/>
    <w:tmpl w:val="877D164B"/>
    <w:lvl w:ilvl="0" w:tentative="0">
      <w:start w:val="1"/>
      <w:numFmt w:val="decimal"/>
      <w:suff w:val="nothing"/>
      <w:lvlText w:val="%1）"/>
      <w:lvlJc w:val="left"/>
    </w:lvl>
  </w:abstractNum>
  <w:abstractNum w:abstractNumId="1">
    <w:nsid w:val="CCD05A5D"/>
    <w:multiLevelType w:val="multilevel"/>
    <w:tmpl w:val="CCD05A5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wMTFkMDI3ZjBmZjczM2Q3M2EwOGI5M2VjYzUzMDkifQ=="/>
  </w:docVars>
  <w:rsids>
    <w:rsidRoot w:val="00000000"/>
    <w:rsid w:val="00144231"/>
    <w:rsid w:val="00863B59"/>
    <w:rsid w:val="00A87F74"/>
    <w:rsid w:val="00D1613F"/>
    <w:rsid w:val="00E518E0"/>
    <w:rsid w:val="00F62D85"/>
    <w:rsid w:val="0127533C"/>
    <w:rsid w:val="017E6F26"/>
    <w:rsid w:val="01D34B7C"/>
    <w:rsid w:val="01E925F2"/>
    <w:rsid w:val="01F21B1E"/>
    <w:rsid w:val="020E7C68"/>
    <w:rsid w:val="026C4FD1"/>
    <w:rsid w:val="026D3223"/>
    <w:rsid w:val="02BF77F6"/>
    <w:rsid w:val="02D2752A"/>
    <w:rsid w:val="031B2C7F"/>
    <w:rsid w:val="0340540F"/>
    <w:rsid w:val="03455F4E"/>
    <w:rsid w:val="03523600"/>
    <w:rsid w:val="036A59B4"/>
    <w:rsid w:val="03887BE8"/>
    <w:rsid w:val="03CF32D2"/>
    <w:rsid w:val="03E5503B"/>
    <w:rsid w:val="04277401"/>
    <w:rsid w:val="04536448"/>
    <w:rsid w:val="04B96508"/>
    <w:rsid w:val="04C52712"/>
    <w:rsid w:val="05031C1C"/>
    <w:rsid w:val="052027CE"/>
    <w:rsid w:val="052657DC"/>
    <w:rsid w:val="055629C0"/>
    <w:rsid w:val="055B7A83"/>
    <w:rsid w:val="05A24456"/>
    <w:rsid w:val="05A47762"/>
    <w:rsid w:val="05A86320"/>
    <w:rsid w:val="05D55E68"/>
    <w:rsid w:val="05EE1EF9"/>
    <w:rsid w:val="060F45F1"/>
    <w:rsid w:val="063858F6"/>
    <w:rsid w:val="063B7194"/>
    <w:rsid w:val="066C37F1"/>
    <w:rsid w:val="067D3DF4"/>
    <w:rsid w:val="07135C73"/>
    <w:rsid w:val="0775691E"/>
    <w:rsid w:val="07A62D33"/>
    <w:rsid w:val="07A85F84"/>
    <w:rsid w:val="07AB5A00"/>
    <w:rsid w:val="07BA4411"/>
    <w:rsid w:val="0846082C"/>
    <w:rsid w:val="084762C4"/>
    <w:rsid w:val="086A3D60"/>
    <w:rsid w:val="08980E61"/>
    <w:rsid w:val="08AF0E7E"/>
    <w:rsid w:val="09120680"/>
    <w:rsid w:val="091361A6"/>
    <w:rsid w:val="09574754"/>
    <w:rsid w:val="09764C9C"/>
    <w:rsid w:val="097A6225"/>
    <w:rsid w:val="09A775EB"/>
    <w:rsid w:val="09D05E45"/>
    <w:rsid w:val="09E0749F"/>
    <w:rsid w:val="0A0F4281"/>
    <w:rsid w:val="0A361ABE"/>
    <w:rsid w:val="0A65507B"/>
    <w:rsid w:val="0A785228"/>
    <w:rsid w:val="0AD90520"/>
    <w:rsid w:val="0AF841B0"/>
    <w:rsid w:val="0B1A7A55"/>
    <w:rsid w:val="0B212DFC"/>
    <w:rsid w:val="0B224DC6"/>
    <w:rsid w:val="0B344073"/>
    <w:rsid w:val="0B3A3EBE"/>
    <w:rsid w:val="0BD26DFA"/>
    <w:rsid w:val="0BE676B5"/>
    <w:rsid w:val="0C0E6F38"/>
    <w:rsid w:val="0C0F668B"/>
    <w:rsid w:val="0C5F0A04"/>
    <w:rsid w:val="0C6A5C35"/>
    <w:rsid w:val="0C7476C0"/>
    <w:rsid w:val="0C807CE3"/>
    <w:rsid w:val="0CC87491"/>
    <w:rsid w:val="0D4735C9"/>
    <w:rsid w:val="0D647E70"/>
    <w:rsid w:val="0D8542C2"/>
    <w:rsid w:val="0DC22DFE"/>
    <w:rsid w:val="0DDF1E10"/>
    <w:rsid w:val="0DE24882"/>
    <w:rsid w:val="0DEC4FEC"/>
    <w:rsid w:val="0E3C619F"/>
    <w:rsid w:val="0E651252"/>
    <w:rsid w:val="0EEC54CF"/>
    <w:rsid w:val="0EF13522"/>
    <w:rsid w:val="0FB0474F"/>
    <w:rsid w:val="0FC06D8C"/>
    <w:rsid w:val="0FC24482"/>
    <w:rsid w:val="104C7DB6"/>
    <w:rsid w:val="106519DD"/>
    <w:rsid w:val="108F6A5A"/>
    <w:rsid w:val="10E96744"/>
    <w:rsid w:val="110A069A"/>
    <w:rsid w:val="116520B4"/>
    <w:rsid w:val="116D22D4"/>
    <w:rsid w:val="11802A9D"/>
    <w:rsid w:val="11BF397F"/>
    <w:rsid w:val="122525BE"/>
    <w:rsid w:val="122A4CB7"/>
    <w:rsid w:val="125B745E"/>
    <w:rsid w:val="128633D3"/>
    <w:rsid w:val="129728D9"/>
    <w:rsid w:val="129F1B30"/>
    <w:rsid w:val="12A5482A"/>
    <w:rsid w:val="12A940F9"/>
    <w:rsid w:val="12EA7850"/>
    <w:rsid w:val="13021765"/>
    <w:rsid w:val="1317177A"/>
    <w:rsid w:val="133A678F"/>
    <w:rsid w:val="136062F0"/>
    <w:rsid w:val="13877EBC"/>
    <w:rsid w:val="139F6FB4"/>
    <w:rsid w:val="13B65C44"/>
    <w:rsid w:val="140B5CB8"/>
    <w:rsid w:val="148D1503"/>
    <w:rsid w:val="14DA4B86"/>
    <w:rsid w:val="14DC5FE6"/>
    <w:rsid w:val="152C2AC9"/>
    <w:rsid w:val="15681628"/>
    <w:rsid w:val="158E56BC"/>
    <w:rsid w:val="15B8435D"/>
    <w:rsid w:val="15C639B1"/>
    <w:rsid w:val="15CA4FA0"/>
    <w:rsid w:val="15DE2644"/>
    <w:rsid w:val="15EA18D8"/>
    <w:rsid w:val="163D3B03"/>
    <w:rsid w:val="1676167E"/>
    <w:rsid w:val="16797D76"/>
    <w:rsid w:val="16BC4771"/>
    <w:rsid w:val="16C72A49"/>
    <w:rsid w:val="16D2144F"/>
    <w:rsid w:val="174523A6"/>
    <w:rsid w:val="175B7696"/>
    <w:rsid w:val="177906D9"/>
    <w:rsid w:val="179D1A5D"/>
    <w:rsid w:val="17D17958"/>
    <w:rsid w:val="17D47448"/>
    <w:rsid w:val="17E72CD8"/>
    <w:rsid w:val="18055854"/>
    <w:rsid w:val="1821268E"/>
    <w:rsid w:val="183A54FD"/>
    <w:rsid w:val="18AB63FB"/>
    <w:rsid w:val="18B41207"/>
    <w:rsid w:val="18E4329D"/>
    <w:rsid w:val="193A6EE2"/>
    <w:rsid w:val="19500F4F"/>
    <w:rsid w:val="19553753"/>
    <w:rsid w:val="197A1390"/>
    <w:rsid w:val="198B3B37"/>
    <w:rsid w:val="19D64BB3"/>
    <w:rsid w:val="1A402B73"/>
    <w:rsid w:val="1AC714F1"/>
    <w:rsid w:val="1AD03EF7"/>
    <w:rsid w:val="1BB27AA1"/>
    <w:rsid w:val="1C625C9F"/>
    <w:rsid w:val="1C721D46"/>
    <w:rsid w:val="1CD14921"/>
    <w:rsid w:val="1D012A8E"/>
    <w:rsid w:val="1D547061"/>
    <w:rsid w:val="1DB34C77"/>
    <w:rsid w:val="1DBE4000"/>
    <w:rsid w:val="1DC53ABB"/>
    <w:rsid w:val="1E446DFD"/>
    <w:rsid w:val="1E766B63"/>
    <w:rsid w:val="1E982F7E"/>
    <w:rsid w:val="1EBC2425"/>
    <w:rsid w:val="1F063943"/>
    <w:rsid w:val="1F332CA6"/>
    <w:rsid w:val="1FEF3071"/>
    <w:rsid w:val="1FF13FC9"/>
    <w:rsid w:val="201534EB"/>
    <w:rsid w:val="205C6091"/>
    <w:rsid w:val="209854B7"/>
    <w:rsid w:val="20C81854"/>
    <w:rsid w:val="20DA2663"/>
    <w:rsid w:val="21130FE1"/>
    <w:rsid w:val="21215297"/>
    <w:rsid w:val="216270C5"/>
    <w:rsid w:val="21747CD2"/>
    <w:rsid w:val="217C21A9"/>
    <w:rsid w:val="21811739"/>
    <w:rsid w:val="219073CC"/>
    <w:rsid w:val="21FB2AA1"/>
    <w:rsid w:val="220F17A9"/>
    <w:rsid w:val="2217065D"/>
    <w:rsid w:val="2237485C"/>
    <w:rsid w:val="224D0523"/>
    <w:rsid w:val="227C4DC1"/>
    <w:rsid w:val="22CD5560"/>
    <w:rsid w:val="231D427D"/>
    <w:rsid w:val="23294EF6"/>
    <w:rsid w:val="23580F2E"/>
    <w:rsid w:val="23841D23"/>
    <w:rsid w:val="23A229BA"/>
    <w:rsid w:val="23F62347"/>
    <w:rsid w:val="23FE1EA7"/>
    <w:rsid w:val="240923B7"/>
    <w:rsid w:val="241E2177"/>
    <w:rsid w:val="24213A15"/>
    <w:rsid w:val="248C07B9"/>
    <w:rsid w:val="24F44686"/>
    <w:rsid w:val="25004B0F"/>
    <w:rsid w:val="25096983"/>
    <w:rsid w:val="256D789A"/>
    <w:rsid w:val="25751EF7"/>
    <w:rsid w:val="25987D07"/>
    <w:rsid w:val="25B52667"/>
    <w:rsid w:val="25EB6089"/>
    <w:rsid w:val="25F82554"/>
    <w:rsid w:val="25FC0808"/>
    <w:rsid w:val="26335D0E"/>
    <w:rsid w:val="26357304"/>
    <w:rsid w:val="26534469"/>
    <w:rsid w:val="26547116"/>
    <w:rsid w:val="26C32B62"/>
    <w:rsid w:val="26CB1A16"/>
    <w:rsid w:val="26E01966"/>
    <w:rsid w:val="26F153BB"/>
    <w:rsid w:val="26F64CE5"/>
    <w:rsid w:val="27021134"/>
    <w:rsid w:val="27225ADA"/>
    <w:rsid w:val="27C10956"/>
    <w:rsid w:val="28031BCE"/>
    <w:rsid w:val="28D948BF"/>
    <w:rsid w:val="29227034"/>
    <w:rsid w:val="29253660"/>
    <w:rsid w:val="29380C01"/>
    <w:rsid w:val="295C1E77"/>
    <w:rsid w:val="296A586F"/>
    <w:rsid w:val="29A94291"/>
    <w:rsid w:val="29C235A5"/>
    <w:rsid w:val="29E91244"/>
    <w:rsid w:val="2AF12A7D"/>
    <w:rsid w:val="2B2142FB"/>
    <w:rsid w:val="2B2838DB"/>
    <w:rsid w:val="2B65243A"/>
    <w:rsid w:val="2B993925"/>
    <w:rsid w:val="2BA02310"/>
    <w:rsid w:val="2BB563D7"/>
    <w:rsid w:val="2BCE1D39"/>
    <w:rsid w:val="2BE85CC4"/>
    <w:rsid w:val="2C1125C1"/>
    <w:rsid w:val="2C361229"/>
    <w:rsid w:val="2C3A38C6"/>
    <w:rsid w:val="2C414C55"/>
    <w:rsid w:val="2CC94C4A"/>
    <w:rsid w:val="2CD63695"/>
    <w:rsid w:val="2CDB02CC"/>
    <w:rsid w:val="2D335EDE"/>
    <w:rsid w:val="2D3447B9"/>
    <w:rsid w:val="2DDE509E"/>
    <w:rsid w:val="2DF11A1D"/>
    <w:rsid w:val="2E0F49FC"/>
    <w:rsid w:val="2E507EAA"/>
    <w:rsid w:val="2E7F10CB"/>
    <w:rsid w:val="2EB245ED"/>
    <w:rsid w:val="2EBB74B8"/>
    <w:rsid w:val="2EE1627B"/>
    <w:rsid w:val="2EE713B8"/>
    <w:rsid w:val="2F73601B"/>
    <w:rsid w:val="2FF36C26"/>
    <w:rsid w:val="30085A89"/>
    <w:rsid w:val="30197C97"/>
    <w:rsid w:val="301C445C"/>
    <w:rsid w:val="3025663B"/>
    <w:rsid w:val="303321F6"/>
    <w:rsid w:val="306B04F2"/>
    <w:rsid w:val="306E533F"/>
    <w:rsid w:val="30C47C0F"/>
    <w:rsid w:val="31193949"/>
    <w:rsid w:val="311A098E"/>
    <w:rsid w:val="3126207B"/>
    <w:rsid w:val="31316DFF"/>
    <w:rsid w:val="31737FFF"/>
    <w:rsid w:val="319C0B45"/>
    <w:rsid w:val="31A43590"/>
    <w:rsid w:val="31B639EF"/>
    <w:rsid w:val="31B935FE"/>
    <w:rsid w:val="31FF0ACE"/>
    <w:rsid w:val="324F7BB6"/>
    <w:rsid w:val="32764F2C"/>
    <w:rsid w:val="32A25D21"/>
    <w:rsid w:val="330B1B18"/>
    <w:rsid w:val="3348533B"/>
    <w:rsid w:val="334E3E2E"/>
    <w:rsid w:val="335C4DFC"/>
    <w:rsid w:val="337551E4"/>
    <w:rsid w:val="33C81169"/>
    <w:rsid w:val="340842AA"/>
    <w:rsid w:val="34197B60"/>
    <w:rsid w:val="341F6774"/>
    <w:rsid w:val="342E52D9"/>
    <w:rsid w:val="34472436"/>
    <w:rsid w:val="345474EF"/>
    <w:rsid w:val="347F1B30"/>
    <w:rsid w:val="34BB6546"/>
    <w:rsid w:val="352503A6"/>
    <w:rsid w:val="35646E1B"/>
    <w:rsid w:val="35775243"/>
    <w:rsid w:val="358349C5"/>
    <w:rsid w:val="35843E04"/>
    <w:rsid w:val="35867B7C"/>
    <w:rsid w:val="35B16A95"/>
    <w:rsid w:val="35C3679B"/>
    <w:rsid w:val="35FF0CF3"/>
    <w:rsid w:val="363D414B"/>
    <w:rsid w:val="36546371"/>
    <w:rsid w:val="366473DC"/>
    <w:rsid w:val="367077C6"/>
    <w:rsid w:val="36AA560A"/>
    <w:rsid w:val="36C9002A"/>
    <w:rsid w:val="36CF1975"/>
    <w:rsid w:val="36E74237"/>
    <w:rsid w:val="37436ACA"/>
    <w:rsid w:val="3744384B"/>
    <w:rsid w:val="374D27BB"/>
    <w:rsid w:val="37C16C4A"/>
    <w:rsid w:val="382A0D6E"/>
    <w:rsid w:val="386817BB"/>
    <w:rsid w:val="386D1C82"/>
    <w:rsid w:val="387D60DC"/>
    <w:rsid w:val="38861DAA"/>
    <w:rsid w:val="38A6160E"/>
    <w:rsid w:val="38C06F01"/>
    <w:rsid w:val="38F372D7"/>
    <w:rsid w:val="39761CB6"/>
    <w:rsid w:val="398E5251"/>
    <w:rsid w:val="39E135D3"/>
    <w:rsid w:val="39E20BC8"/>
    <w:rsid w:val="3A02053D"/>
    <w:rsid w:val="3A555D6F"/>
    <w:rsid w:val="3A5C1BF4"/>
    <w:rsid w:val="3A5C4FC6"/>
    <w:rsid w:val="3A5E6F6F"/>
    <w:rsid w:val="3A8824C5"/>
    <w:rsid w:val="3A954083"/>
    <w:rsid w:val="3AFA638A"/>
    <w:rsid w:val="3B077470"/>
    <w:rsid w:val="3B1479D8"/>
    <w:rsid w:val="3B2A71FC"/>
    <w:rsid w:val="3B6E70E8"/>
    <w:rsid w:val="3B7E4CA6"/>
    <w:rsid w:val="3B947D40"/>
    <w:rsid w:val="3BD6350C"/>
    <w:rsid w:val="3BDF3DFC"/>
    <w:rsid w:val="3BEE04B3"/>
    <w:rsid w:val="3C4542ED"/>
    <w:rsid w:val="3C8F7316"/>
    <w:rsid w:val="3C932ACC"/>
    <w:rsid w:val="3CC571DC"/>
    <w:rsid w:val="3CEA0048"/>
    <w:rsid w:val="3D157A35"/>
    <w:rsid w:val="3D263EFE"/>
    <w:rsid w:val="3D393726"/>
    <w:rsid w:val="3D421203"/>
    <w:rsid w:val="3D491BBB"/>
    <w:rsid w:val="3D712D52"/>
    <w:rsid w:val="3D8E1413"/>
    <w:rsid w:val="3DA6700D"/>
    <w:rsid w:val="3DC33FB2"/>
    <w:rsid w:val="3DC85D07"/>
    <w:rsid w:val="3E0755D2"/>
    <w:rsid w:val="3E497999"/>
    <w:rsid w:val="3E810EE1"/>
    <w:rsid w:val="3E830EE7"/>
    <w:rsid w:val="3EB260B8"/>
    <w:rsid w:val="3F5B0661"/>
    <w:rsid w:val="3F60708E"/>
    <w:rsid w:val="3F970C32"/>
    <w:rsid w:val="3FBF0FBD"/>
    <w:rsid w:val="3FD80E8B"/>
    <w:rsid w:val="40875841"/>
    <w:rsid w:val="40E8136B"/>
    <w:rsid w:val="40FA0340"/>
    <w:rsid w:val="4105229D"/>
    <w:rsid w:val="4185518C"/>
    <w:rsid w:val="422E69F3"/>
    <w:rsid w:val="426B4382"/>
    <w:rsid w:val="429D0E21"/>
    <w:rsid w:val="42A054DF"/>
    <w:rsid w:val="42ED2FE9"/>
    <w:rsid w:val="42F44377"/>
    <w:rsid w:val="430D62CD"/>
    <w:rsid w:val="430D7208"/>
    <w:rsid w:val="43175653"/>
    <w:rsid w:val="432A7D99"/>
    <w:rsid w:val="4336515D"/>
    <w:rsid w:val="43607C5E"/>
    <w:rsid w:val="439329C4"/>
    <w:rsid w:val="439F68FB"/>
    <w:rsid w:val="441E4BDC"/>
    <w:rsid w:val="44F4522E"/>
    <w:rsid w:val="45181DF2"/>
    <w:rsid w:val="45386828"/>
    <w:rsid w:val="454A2974"/>
    <w:rsid w:val="455C010A"/>
    <w:rsid w:val="457E617A"/>
    <w:rsid w:val="45824D6D"/>
    <w:rsid w:val="4587065F"/>
    <w:rsid w:val="45A008EA"/>
    <w:rsid w:val="45A75905"/>
    <w:rsid w:val="45BB73CE"/>
    <w:rsid w:val="45D86F40"/>
    <w:rsid w:val="45DF6CF2"/>
    <w:rsid w:val="45F95CD0"/>
    <w:rsid w:val="462C5BD6"/>
    <w:rsid w:val="466435C2"/>
    <w:rsid w:val="466E4440"/>
    <w:rsid w:val="46705FB3"/>
    <w:rsid w:val="46761547"/>
    <w:rsid w:val="467F03FC"/>
    <w:rsid w:val="46BF5DAF"/>
    <w:rsid w:val="46E255B6"/>
    <w:rsid w:val="470A2AA3"/>
    <w:rsid w:val="47134FE8"/>
    <w:rsid w:val="47242D51"/>
    <w:rsid w:val="47310DEC"/>
    <w:rsid w:val="47341BB2"/>
    <w:rsid w:val="4758407E"/>
    <w:rsid w:val="47756D3B"/>
    <w:rsid w:val="47777325"/>
    <w:rsid w:val="477908C9"/>
    <w:rsid w:val="47B6439A"/>
    <w:rsid w:val="488241D3"/>
    <w:rsid w:val="489857A5"/>
    <w:rsid w:val="48CC18F2"/>
    <w:rsid w:val="48E32069"/>
    <w:rsid w:val="492324AA"/>
    <w:rsid w:val="492635E1"/>
    <w:rsid w:val="493556E9"/>
    <w:rsid w:val="49626529"/>
    <w:rsid w:val="49782A4C"/>
    <w:rsid w:val="497C0C22"/>
    <w:rsid w:val="497E0E3E"/>
    <w:rsid w:val="49B752AC"/>
    <w:rsid w:val="49FB423D"/>
    <w:rsid w:val="4A3200C7"/>
    <w:rsid w:val="4A663B65"/>
    <w:rsid w:val="4A895CED"/>
    <w:rsid w:val="4A922048"/>
    <w:rsid w:val="4AB67ADC"/>
    <w:rsid w:val="4ADD398D"/>
    <w:rsid w:val="4B1732F9"/>
    <w:rsid w:val="4B413ED2"/>
    <w:rsid w:val="4B8849B1"/>
    <w:rsid w:val="4BCB40E3"/>
    <w:rsid w:val="4C066EC9"/>
    <w:rsid w:val="4C2F2C26"/>
    <w:rsid w:val="4C731397"/>
    <w:rsid w:val="4C8524E4"/>
    <w:rsid w:val="4C8B224F"/>
    <w:rsid w:val="4CC10DCC"/>
    <w:rsid w:val="4D094EC3"/>
    <w:rsid w:val="4D0D77FD"/>
    <w:rsid w:val="4DF711BF"/>
    <w:rsid w:val="4EBB3F9B"/>
    <w:rsid w:val="4EDD03B5"/>
    <w:rsid w:val="4EE5726A"/>
    <w:rsid w:val="4F8D6891"/>
    <w:rsid w:val="4FC47020"/>
    <w:rsid w:val="4FCE7CFE"/>
    <w:rsid w:val="50067498"/>
    <w:rsid w:val="500918AA"/>
    <w:rsid w:val="50203244"/>
    <w:rsid w:val="50483F54"/>
    <w:rsid w:val="50700DB5"/>
    <w:rsid w:val="50CA60D9"/>
    <w:rsid w:val="512E1286"/>
    <w:rsid w:val="514767A9"/>
    <w:rsid w:val="51960417"/>
    <w:rsid w:val="51AB479B"/>
    <w:rsid w:val="51B12D05"/>
    <w:rsid w:val="51C4696A"/>
    <w:rsid w:val="51D610EC"/>
    <w:rsid w:val="51F53573"/>
    <w:rsid w:val="522A23EC"/>
    <w:rsid w:val="52352944"/>
    <w:rsid w:val="52416EAD"/>
    <w:rsid w:val="52927709"/>
    <w:rsid w:val="52976F97"/>
    <w:rsid w:val="52F55A05"/>
    <w:rsid w:val="53394028"/>
    <w:rsid w:val="535804B3"/>
    <w:rsid w:val="535A6DA1"/>
    <w:rsid w:val="537517FC"/>
    <w:rsid w:val="53C733E2"/>
    <w:rsid w:val="53DA73FE"/>
    <w:rsid w:val="54A557FB"/>
    <w:rsid w:val="54BA0CEE"/>
    <w:rsid w:val="54EF2BF0"/>
    <w:rsid w:val="550D3076"/>
    <w:rsid w:val="55107147"/>
    <w:rsid w:val="55452810"/>
    <w:rsid w:val="55560EC1"/>
    <w:rsid w:val="556F3D31"/>
    <w:rsid w:val="55EA7DFC"/>
    <w:rsid w:val="56080E28"/>
    <w:rsid w:val="56537892"/>
    <w:rsid w:val="56692432"/>
    <w:rsid w:val="568F4E68"/>
    <w:rsid w:val="56EF6ED8"/>
    <w:rsid w:val="56F21ED5"/>
    <w:rsid w:val="56FE536D"/>
    <w:rsid w:val="57050A24"/>
    <w:rsid w:val="57284198"/>
    <w:rsid w:val="57730ABB"/>
    <w:rsid w:val="57763155"/>
    <w:rsid w:val="57A63F8D"/>
    <w:rsid w:val="582C5F09"/>
    <w:rsid w:val="585E353C"/>
    <w:rsid w:val="589579DA"/>
    <w:rsid w:val="58BC70BE"/>
    <w:rsid w:val="58CB5722"/>
    <w:rsid w:val="594B7DAC"/>
    <w:rsid w:val="59B63CDD"/>
    <w:rsid w:val="5A0902FB"/>
    <w:rsid w:val="5A117165"/>
    <w:rsid w:val="5A3F3830"/>
    <w:rsid w:val="5A9A2114"/>
    <w:rsid w:val="5AA601F5"/>
    <w:rsid w:val="5AEF2DFF"/>
    <w:rsid w:val="5B101FD5"/>
    <w:rsid w:val="5B667984"/>
    <w:rsid w:val="5B7729C2"/>
    <w:rsid w:val="5B876AF2"/>
    <w:rsid w:val="5BCF68BF"/>
    <w:rsid w:val="5C186ED1"/>
    <w:rsid w:val="5C901728"/>
    <w:rsid w:val="5D1256CE"/>
    <w:rsid w:val="5D81304D"/>
    <w:rsid w:val="5D971C5A"/>
    <w:rsid w:val="5DBE13B2"/>
    <w:rsid w:val="5DE74DAC"/>
    <w:rsid w:val="5DEF162D"/>
    <w:rsid w:val="5E290C38"/>
    <w:rsid w:val="5E6301AB"/>
    <w:rsid w:val="5E7423B8"/>
    <w:rsid w:val="5E84084D"/>
    <w:rsid w:val="5EB9176F"/>
    <w:rsid w:val="5EBA426F"/>
    <w:rsid w:val="5ECE1AC8"/>
    <w:rsid w:val="5EEA17EC"/>
    <w:rsid w:val="5F0B3163"/>
    <w:rsid w:val="5F4717DF"/>
    <w:rsid w:val="5F7310C8"/>
    <w:rsid w:val="5F772160"/>
    <w:rsid w:val="5F7B30C5"/>
    <w:rsid w:val="5F8F1D8C"/>
    <w:rsid w:val="5F9B7003"/>
    <w:rsid w:val="5F9F501F"/>
    <w:rsid w:val="5FD70D12"/>
    <w:rsid w:val="5FF21CF8"/>
    <w:rsid w:val="604C539B"/>
    <w:rsid w:val="6050107F"/>
    <w:rsid w:val="605268D5"/>
    <w:rsid w:val="608F5287"/>
    <w:rsid w:val="60B50CCE"/>
    <w:rsid w:val="60E5134B"/>
    <w:rsid w:val="612105D5"/>
    <w:rsid w:val="616B782A"/>
    <w:rsid w:val="618F621F"/>
    <w:rsid w:val="619012B7"/>
    <w:rsid w:val="61BB52E0"/>
    <w:rsid w:val="61BF0E4D"/>
    <w:rsid w:val="61CC480A"/>
    <w:rsid w:val="61DB0FD1"/>
    <w:rsid w:val="620F4796"/>
    <w:rsid w:val="626369CC"/>
    <w:rsid w:val="626F2D4C"/>
    <w:rsid w:val="627D587D"/>
    <w:rsid w:val="62A96AD4"/>
    <w:rsid w:val="62C204A2"/>
    <w:rsid w:val="62FB09B2"/>
    <w:rsid w:val="631D37BF"/>
    <w:rsid w:val="633F6400"/>
    <w:rsid w:val="635F53E5"/>
    <w:rsid w:val="63B404D8"/>
    <w:rsid w:val="63DA2CBD"/>
    <w:rsid w:val="63F21E9C"/>
    <w:rsid w:val="64124205"/>
    <w:rsid w:val="642C4724"/>
    <w:rsid w:val="643F18F7"/>
    <w:rsid w:val="64680FC0"/>
    <w:rsid w:val="64AA4AE5"/>
    <w:rsid w:val="64B96D77"/>
    <w:rsid w:val="64D41B49"/>
    <w:rsid w:val="654E5711"/>
    <w:rsid w:val="65D73958"/>
    <w:rsid w:val="65F31526"/>
    <w:rsid w:val="662109D8"/>
    <w:rsid w:val="66310EEA"/>
    <w:rsid w:val="664166AE"/>
    <w:rsid w:val="664A412A"/>
    <w:rsid w:val="665054B9"/>
    <w:rsid w:val="66883436"/>
    <w:rsid w:val="668F64F5"/>
    <w:rsid w:val="669419C0"/>
    <w:rsid w:val="669C6028"/>
    <w:rsid w:val="66BB5605"/>
    <w:rsid w:val="66F45E44"/>
    <w:rsid w:val="66F6096B"/>
    <w:rsid w:val="6703252B"/>
    <w:rsid w:val="671B1623"/>
    <w:rsid w:val="674073D3"/>
    <w:rsid w:val="676A70D7"/>
    <w:rsid w:val="677B47B7"/>
    <w:rsid w:val="67A5598E"/>
    <w:rsid w:val="67B11907"/>
    <w:rsid w:val="67CD5013"/>
    <w:rsid w:val="67E4235D"/>
    <w:rsid w:val="67E549DC"/>
    <w:rsid w:val="681F2E06"/>
    <w:rsid w:val="683E5E53"/>
    <w:rsid w:val="68480CB8"/>
    <w:rsid w:val="68484124"/>
    <w:rsid w:val="684969F6"/>
    <w:rsid w:val="68B24209"/>
    <w:rsid w:val="68FA4C41"/>
    <w:rsid w:val="6945507D"/>
    <w:rsid w:val="695B664F"/>
    <w:rsid w:val="69791DB0"/>
    <w:rsid w:val="69CC12FA"/>
    <w:rsid w:val="69CE0BCF"/>
    <w:rsid w:val="6A274783"/>
    <w:rsid w:val="6A3C6480"/>
    <w:rsid w:val="6A4F3A3B"/>
    <w:rsid w:val="6A7379C8"/>
    <w:rsid w:val="6AD30FAF"/>
    <w:rsid w:val="6AE16007"/>
    <w:rsid w:val="6B005CDC"/>
    <w:rsid w:val="6B3D425E"/>
    <w:rsid w:val="6B730171"/>
    <w:rsid w:val="6B9143EA"/>
    <w:rsid w:val="6BB63F2C"/>
    <w:rsid w:val="6C01153C"/>
    <w:rsid w:val="6C1A634D"/>
    <w:rsid w:val="6C250955"/>
    <w:rsid w:val="6C4704BE"/>
    <w:rsid w:val="6C5B3C67"/>
    <w:rsid w:val="6C9E6F7E"/>
    <w:rsid w:val="6CA65E33"/>
    <w:rsid w:val="6CA845DD"/>
    <w:rsid w:val="6CB3137C"/>
    <w:rsid w:val="6CD176D0"/>
    <w:rsid w:val="6CD97293"/>
    <w:rsid w:val="6D093393"/>
    <w:rsid w:val="6D36667C"/>
    <w:rsid w:val="6DD964FC"/>
    <w:rsid w:val="6DFA6436"/>
    <w:rsid w:val="6E3556C0"/>
    <w:rsid w:val="6E7B1DCF"/>
    <w:rsid w:val="6E91666F"/>
    <w:rsid w:val="6E9F6FDD"/>
    <w:rsid w:val="6ED21161"/>
    <w:rsid w:val="6EF13547"/>
    <w:rsid w:val="6F0E4B4C"/>
    <w:rsid w:val="6F19624E"/>
    <w:rsid w:val="6F457B85"/>
    <w:rsid w:val="6F6126B0"/>
    <w:rsid w:val="6FC104BF"/>
    <w:rsid w:val="6FD24C25"/>
    <w:rsid w:val="704936A5"/>
    <w:rsid w:val="70635E87"/>
    <w:rsid w:val="7077783B"/>
    <w:rsid w:val="70827AA5"/>
    <w:rsid w:val="70E40C09"/>
    <w:rsid w:val="71121CE9"/>
    <w:rsid w:val="71162540"/>
    <w:rsid w:val="71D147B7"/>
    <w:rsid w:val="71DD22F7"/>
    <w:rsid w:val="71DF78C7"/>
    <w:rsid w:val="720516CA"/>
    <w:rsid w:val="722E4900"/>
    <w:rsid w:val="72303F46"/>
    <w:rsid w:val="7244017F"/>
    <w:rsid w:val="72581161"/>
    <w:rsid w:val="725C5134"/>
    <w:rsid w:val="72620508"/>
    <w:rsid w:val="727662A7"/>
    <w:rsid w:val="72C36A95"/>
    <w:rsid w:val="72CB1475"/>
    <w:rsid w:val="731A30D6"/>
    <w:rsid w:val="73634A7D"/>
    <w:rsid w:val="73781BAB"/>
    <w:rsid w:val="73BC418E"/>
    <w:rsid w:val="73C07A3C"/>
    <w:rsid w:val="73C52A51"/>
    <w:rsid w:val="7400051E"/>
    <w:rsid w:val="74373814"/>
    <w:rsid w:val="745E26EE"/>
    <w:rsid w:val="74A6237F"/>
    <w:rsid w:val="74AE4798"/>
    <w:rsid w:val="74CD713E"/>
    <w:rsid w:val="750C7A48"/>
    <w:rsid w:val="75343457"/>
    <w:rsid w:val="75351ABD"/>
    <w:rsid w:val="7544443B"/>
    <w:rsid w:val="75EB4A9B"/>
    <w:rsid w:val="75F57C88"/>
    <w:rsid w:val="75F714AD"/>
    <w:rsid w:val="762F11BB"/>
    <w:rsid w:val="76801238"/>
    <w:rsid w:val="76E45ED5"/>
    <w:rsid w:val="77185B7F"/>
    <w:rsid w:val="772A2D24"/>
    <w:rsid w:val="77324E93"/>
    <w:rsid w:val="77416E84"/>
    <w:rsid w:val="776F3A5B"/>
    <w:rsid w:val="77B358A8"/>
    <w:rsid w:val="77C41863"/>
    <w:rsid w:val="77DA5DCD"/>
    <w:rsid w:val="77DC095A"/>
    <w:rsid w:val="783D0D9D"/>
    <w:rsid w:val="785C7CED"/>
    <w:rsid w:val="786F17CF"/>
    <w:rsid w:val="7878358F"/>
    <w:rsid w:val="7887726C"/>
    <w:rsid w:val="7891263E"/>
    <w:rsid w:val="789B0816"/>
    <w:rsid w:val="78C7785D"/>
    <w:rsid w:val="78CF4963"/>
    <w:rsid w:val="78F31440"/>
    <w:rsid w:val="78F61EF0"/>
    <w:rsid w:val="79280739"/>
    <w:rsid w:val="795B3889"/>
    <w:rsid w:val="797C08AB"/>
    <w:rsid w:val="79A24E4F"/>
    <w:rsid w:val="79EE4457"/>
    <w:rsid w:val="7A010B4C"/>
    <w:rsid w:val="7A4E3B59"/>
    <w:rsid w:val="7A5F20A1"/>
    <w:rsid w:val="7A7237F8"/>
    <w:rsid w:val="7A88678C"/>
    <w:rsid w:val="7A8D0632"/>
    <w:rsid w:val="7AB94F83"/>
    <w:rsid w:val="7AD95FCD"/>
    <w:rsid w:val="7B227565"/>
    <w:rsid w:val="7B8545C4"/>
    <w:rsid w:val="7B883A47"/>
    <w:rsid w:val="7B8E01BE"/>
    <w:rsid w:val="7BA17D69"/>
    <w:rsid w:val="7BA94FF8"/>
    <w:rsid w:val="7BC9569A"/>
    <w:rsid w:val="7BDB6A47"/>
    <w:rsid w:val="7CB62A11"/>
    <w:rsid w:val="7CBF7CC6"/>
    <w:rsid w:val="7D1D1F46"/>
    <w:rsid w:val="7D4A45B8"/>
    <w:rsid w:val="7D797A16"/>
    <w:rsid w:val="7D7B0C16"/>
    <w:rsid w:val="7D962FA6"/>
    <w:rsid w:val="7D9D6DDE"/>
    <w:rsid w:val="7DA4016C"/>
    <w:rsid w:val="7DAF38C3"/>
    <w:rsid w:val="7DAF6E82"/>
    <w:rsid w:val="7DD00F61"/>
    <w:rsid w:val="7E0D5D12"/>
    <w:rsid w:val="7E153D01"/>
    <w:rsid w:val="7E626E76"/>
    <w:rsid w:val="7E7A44FC"/>
    <w:rsid w:val="7EA52655"/>
    <w:rsid w:val="7EC2560D"/>
    <w:rsid w:val="7EC860DC"/>
    <w:rsid w:val="7ECF2FC7"/>
    <w:rsid w:val="7EE52087"/>
    <w:rsid w:val="7EFB26A6"/>
    <w:rsid w:val="7F2552DD"/>
    <w:rsid w:val="7FA44DC6"/>
    <w:rsid w:val="7FAA5BE1"/>
    <w:rsid w:val="7FF802FC"/>
    <w:rsid w:val="9DFFBA66"/>
    <w:rsid w:val="BD69E17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80" w:lineRule="exact"/>
      <w:outlineLvl w:val="0"/>
    </w:pPr>
    <w:rPr>
      <w:rFonts w:eastAsia="黑体" w:asciiTheme="minorAscii" w:hAnsiTheme="minorAscii"/>
      <w:b/>
      <w:kern w:val="44"/>
      <w:sz w:val="32"/>
    </w:rPr>
  </w:style>
  <w:style w:type="paragraph" w:styleId="6">
    <w:name w:val="heading 2"/>
    <w:basedOn w:val="1"/>
    <w:next w:val="1"/>
    <w:unhideWhenUsed/>
    <w:qFormat/>
    <w:uiPriority w:val="0"/>
    <w:pPr>
      <w:keepNext/>
      <w:keepLines/>
      <w:spacing w:before="260" w:beforeLines="0" w:beforeAutospacing="0" w:after="260" w:afterLines="0" w:afterAutospacing="0" w:line="580" w:lineRule="exact"/>
      <w:outlineLvl w:val="1"/>
    </w:pPr>
    <w:rPr>
      <w:rFonts w:ascii="Arial" w:hAnsi="Arial" w:eastAsia="楷体_GB2312"/>
      <w:b/>
    </w:rPr>
  </w:style>
  <w:style w:type="paragraph" w:styleId="7">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8">
    <w:name w:val="heading 4"/>
    <w:basedOn w:val="1"/>
    <w:next w:val="1"/>
    <w:unhideWhenUsed/>
    <w:qFormat/>
    <w:uiPriority w:val="0"/>
    <w:pPr>
      <w:keepNext/>
      <w:keepLines/>
      <w:spacing w:beforeLines="0" w:beforeAutospacing="0" w:afterLines="0" w:afterAutospacing="0" w:line="580" w:lineRule="exact"/>
      <w:ind w:firstLine="640" w:firstLineChars="200"/>
      <w:outlineLvl w:val="3"/>
    </w:pPr>
    <w:rPr>
      <w:rFonts w:ascii="Arial" w:hAnsi="Arial"/>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rPr>
      <w:rFonts w:eastAsia="方正仿宋_GBK"/>
      <w:szCs w:val="20"/>
    </w:rPr>
  </w:style>
  <w:style w:type="paragraph" w:styleId="3">
    <w:name w:val="Body Text"/>
    <w:basedOn w:val="1"/>
    <w:next w:val="4"/>
    <w:unhideWhenUsed/>
    <w:qFormat/>
    <w:uiPriority w:val="0"/>
    <w:pPr>
      <w:spacing w:after="120"/>
    </w:pPr>
    <w:rPr>
      <w:rFonts w:ascii="Times New Roman" w:hAnsi="Times New Roman" w:eastAsia="宋体"/>
      <w:sz w:val="21"/>
    </w:rPr>
  </w:style>
  <w:style w:type="paragraph" w:styleId="4">
    <w:name w:val="Title"/>
    <w:basedOn w:val="1"/>
    <w:next w:val="1"/>
    <w:qFormat/>
    <w:uiPriority w:val="0"/>
    <w:pPr>
      <w:spacing w:before="240" w:after="60"/>
      <w:jc w:val="center"/>
      <w:outlineLvl w:val="0"/>
    </w:pPr>
    <w:rPr>
      <w:rFonts w:ascii="Arial" w:hAnsi="Arial" w:eastAsia="宋体"/>
      <w:b/>
      <w:bCs/>
      <w:sz w:val="32"/>
      <w:szCs w:val="32"/>
    </w:rPr>
  </w:style>
  <w:style w:type="paragraph" w:styleId="9">
    <w:name w:val="caption"/>
    <w:basedOn w:val="1"/>
    <w:next w:val="1"/>
    <w:qFormat/>
    <w:uiPriority w:val="0"/>
    <w:rPr>
      <w:rFonts w:ascii="Arial" w:hAnsi="Arial" w:eastAsia="黑体" w:cs="Times New Roman"/>
      <w:sz w:val="20"/>
    </w:r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Body Text First Indent"/>
    <w:basedOn w:val="3"/>
    <w:qFormat/>
    <w:uiPriority w:val="0"/>
    <w:rPr>
      <w:szCs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qFormat/>
    <w:uiPriority w:val="0"/>
    <w:rPr>
      <w:color w:val="800080"/>
      <w:u w:val="single"/>
    </w:rPr>
  </w:style>
  <w:style w:type="character" w:styleId="20">
    <w:name w:val="Hyperlink"/>
    <w:basedOn w:val="18"/>
    <w:qFormat/>
    <w:uiPriority w:val="0"/>
    <w:rPr>
      <w:color w:val="0000FF"/>
      <w:u w:val="single"/>
    </w:rPr>
  </w:style>
  <w:style w:type="paragraph" w:customStyle="1" w:styleId="21">
    <w:name w:val="列表段落1"/>
    <w:qFormat/>
    <w:uiPriority w:val="34"/>
    <w:pPr>
      <w:widowControl w:val="0"/>
      <w:ind w:firstLine="420" w:firstLineChars="200"/>
      <w:jc w:val="both"/>
    </w:pPr>
    <w:rPr>
      <w:rFonts w:asciiTheme="minorHAnsi" w:hAnsiTheme="minorHAnsi" w:eastAsiaTheme="minorEastAsia" w:cstheme="minorBidi"/>
      <w:kern w:val="2"/>
      <w:sz w:val="21"/>
      <w:szCs w:val="24"/>
      <w:lang w:val="en-US" w:eastAsia="zh-CN" w:bidi="ar-SA"/>
    </w:rPr>
  </w:style>
  <w:style w:type="paragraph" w:styleId="22">
    <w:name w:val="List Paragraph"/>
    <w:basedOn w:val="1"/>
    <w:qFormat/>
    <w:uiPriority w:val="34"/>
    <w:pPr>
      <w:ind w:firstLine="420" w:firstLineChars="200"/>
    </w:pPr>
  </w:style>
  <w:style w:type="character" w:customStyle="1" w:styleId="23">
    <w:name w:val="菜单字段"/>
    <w:qFormat/>
    <w:uiPriority w:val="0"/>
    <w:rPr>
      <w:rFonts w:ascii="黑体" w:eastAsia="黑体"/>
      <w:bCs/>
      <w:color w:val="auto"/>
      <w:kern w:val="2"/>
      <w:sz w:val="24"/>
      <w:szCs w:val="24"/>
    </w:rPr>
  </w:style>
  <w:style w:type="paragraph" w:customStyle="1" w:styleId="24">
    <w:name w:val="正文 + 首行缩进:  2 字符"/>
    <w:basedOn w:val="1"/>
    <w:next w:val="1"/>
    <w:qFormat/>
    <w:uiPriority w:val="0"/>
    <w:pPr>
      <w:widowControl w:val="0"/>
      <w:spacing w:line="360" w:lineRule="auto"/>
      <w:ind w:firstLine="480" w:firstLineChars="200"/>
    </w:pPr>
    <w:rPr>
      <w:rFonts w:ascii="宋体" w:hAnsi="宋体"/>
      <w:szCs w:val="20"/>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19</Pages>
  <TotalTime>0</TotalTime>
  <ScaleCrop>false</ScaleCrop>
  <LinksUpToDate>false</LinksUpToDate>
  <Application>WPS Office_12.1.22553.22553_F1E327BC-269C-435d-A152-05C5408002CA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2025-09-30T15:59:00Z</dcterms:created>
  <dc:creator>Data</dc:creator>
  <cp:lastModifiedBy>张鹏志</cp:lastModifiedBy>
  <dcterms:modified xsi:type="dcterms:W3CDTF">2025-10-15T15:18:00Z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2052-12.1.22553.22553</vt:lpwstr>
  </property>
  <property fmtid="{D5CDD505-2E9C-101B-9397-08002B2CF9AE}" pid="3" name="ICV">
    <vt:lpwstr>74A44AA20379A013D018EF680411860B_42</vt:lpwstr>
  </property>
</Properties>
</file>