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6E8BA">
      <w:pPr>
        <w:pageBreakBefore w:val="0"/>
        <w:kinsoku/>
        <w:wordWrap/>
        <w:overflowPunct/>
        <w:topLinePunct w:val="0"/>
        <w:autoSpaceDE/>
        <w:autoSpaceDN/>
        <w:bidi w:val="0"/>
        <w:adjustRightInd/>
        <w:snapToGrid/>
        <w:spacing w:line="360" w:lineRule="auto"/>
        <w:ind w:leftChars="0"/>
        <w:textAlignment w:val="auto"/>
        <w:rPr>
          <w:rFonts w:hint="eastAsia" w:ascii="方正黑体简体" w:hAnsi="方正黑体简体" w:eastAsia="方正黑体简体" w:cs="方正黑体简体"/>
          <w:b w:val="0"/>
          <w:bCs w:val="0"/>
          <w:color w:val="000000" w:themeColor="text1"/>
          <w:sz w:val="32"/>
          <w:szCs w:val="32"/>
          <w:highlight w:val="none"/>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highlight w:val="none"/>
          <w:lang w:val="en-US" w:eastAsia="zh-CN"/>
          <w14:textFill>
            <w14:solidFill>
              <w14:schemeClr w14:val="tx1"/>
            </w14:solidFill>
          </w14:textFill>
        </w:rPr>
        <w:t>附件2</w:t>
      </w:r>
    </w:p>
    <w:p w14:paraId="1B09C8AD">
      <w:pPr>
        <w:keepNext w:val="0"/>
        <w:keepLines w:val="0"/>
        <w:pageBreakBefore w:val="0"/>
        <w:widowControl w:val="0"/>
        <w:kinsoku/>
        <w:wordWrap/>
        <w:overflowPunct/>
        <w:topLinePunct w:val="0"/>
        <w:autoSpaceDE/>
        <w:autoSpaceDN/>
        <w:bidi w:val="0"/>
        <w:adjustRightInd/>
        <w:snapToGrid/>
        <w:spacing w:line="240" w:lineRule="auto"/>
        <w:ind w:leftChars="0"/>
        <w:jc w:val="center"/>
        <w:textAlignment w:val="auto"/>
        <w:outlineLvl w:val="0"/>
        <w:rPr>
          <w:rFonts w:hint="eastAsia" w:ascii="Times New Roman" w:hAnsi="Times New Roman" w:eastAsia="方正小标宋_GBK" w:cs="方正小标宋_GBK"/>
          <w:b w:val="0"/>
          <w:bCs w:val="0"/>
          <w:color w:val="000000" w:themeColor="text1"/>
          <w:sz w:val="44"/>
          <w:szCs w:val="52"/>
          <w:highlight w:val="none"/>
          <w:lang w:val="en-US" w:eastAsia="zh-CN"/>
          <w14:textFill>
            <w14:solidFill>
              <w14:schemeClr w14:val="tx1"/>
            </w14:solidFill>
          </w14:textFill>
        </w:rPr>
      </w:pPr>
      <w:r>
        <w:rPr>
          <w:rFonts w:hint="eastAsia" w:ascii="Times New Roman" w:hAnsi="Times New Roman" w:eastAsia="方正小标宋_GBK" w:cs="方正小标宋_GBK"/>
          <w:b w:val="0"/>
          <w:bCs w:val="0"/>
          <w:color w:val="000000" w:themeColor="text1"/>
          <w:sz w:val="44"/>
          <w:szCs w:val="52"/>
          <w:highlight w:val="none"/>
          <w:lang w:val="en-US" w:eastAsia="zh-CN"/>
          <w14:textFill>
            <w14:solidFill>
              <w14:schemeClr w14:val="tx1"/>
            </w14:solidFill>
          </w14:textFill>
        </w:rPr>
        <w:t>云南绿色电力交易实施细则</w:t>
      </w:r>
    </w:p>
    <w:p w14:paraId="2E7ABE84">
      <w:pPr>
        <w:keepNext w:val="0"/>
        <w:keepLines w:val="0"/>
        <w:pageBreakBefore w:val="0"/>
        <w:widowControl w:val="0"/>
        <w:kinsoku/>
        <w:wordWrap/>
        <w:overflowPunct/>
        <w:topLinePunct w:val="0"/>
        <w:autoSpaceDE/>
        <w:autoSpaceDN/>
        <w:bidi w:val="0"/>
        <w:adjustRightInd/>
        <w:snapToGrid/>
        <w:spacing w:line="240" w:lineRule="auto"/>
        <w:ind w:leftChars="0"/>
        <w:jc w:val="center"/>
        <w:textAlignment w:val="auto"/>
        <w:outlineLvl w:val="0"/>
        <w:rPr>
          <w:rFonts w:hint="eastAsia" w:ascii="楷体" w:hAnsi="楷体" w:eastAsia="楷体" w:cs="楷体"/>
          <w:b w:val="0"/>
          <w:bCs w:val="0"/>
          <w:color w:val="000000" w:themeColor="text1"/>
          <w:sz w:val="32"/>
          <w:szCs w:val="24"/>
          <w:highlight w:val="none"/>
          <w:lang w:val="en-US" w:eastAsia="zh-CN"/>
          <w14:textFill>
            <w14:solidFill>
              <w14:schemeClr w14:val="tx1"/>
            </w14:solidFill>
          </w14:textFill>
        </w:rPr>
      </w:pPr>
      <w:r>
        <w:rPr>
          <w:rFonts w:hint="eastAsia" w:ascii="楷体" w:hAnsi="楷体" w:eastAsia="楷体" w:cs="楷体"/>
          <w:kern w:val="2"/>
          <w:sz w:val="30"/>
          <w:szCs w:val="30"/>
          <w:highlight w:val="none"/>
          <w:lang w:val="en-US" w:eastAsia="zh-CN" w:bidi="ar-SA"/>
        </w:rPr>
        <w:t>（征求意见稿）</w:t>
      </w:r>
    </w:p>
    <w:p w14:paraId="6F2EAF56">
      <w:pPr>
        <w:keepNext/>
        <w:keepLines/>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outlineLvl w:val="0"/>
        <w:rPr>
          <w:rFonts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第一章  总则</w:t>
      </w:r>
    </w:p>
    <w:p w14:paraId="408208C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方正小标宋_GBK" w:cs="方正小标宋_GBK"/>
          <w:b w:val="0"/>
          <w:bCs w:val="0"/>
          <w:color w:val="000000" w:themeColor="text1"/>
          <w:sz w:val="24"/>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Cs w:val="32"/>
          <w:highlight w:val="none"/>
          <w14:textFill>
            <w14:solidFill>
              <w14:schemeClr w14:val="tx1"/>
            </w14:solidFill>
          </w14:textFill>
        </w:rPr>
        <w:t>为</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深入贯彻</w:t>
      </w:r>
      <w:r>
        <w:rPr>
          <w:rFonts w:hint="eastAsia" w:ascii="Times New Roman" w:hAnsi="Times New Roman" w:eastAsia="仿宋_GB2312" w:cs="Times New Roman"/>
          <w:color w:val="000000" w:themeColor="text1"/>
          <w:szCs w:val="32"/>
          <w:highlight w:val="none"/>
          <w14:textFill>
            <w14:solidFill>
              <w14:schemeClr w14:val="tx1"/>
            </w14:solidFill>
          </w14:textFill>
        </w:rPr>
        <w:t>党中央、国务院关于碳达峰碳中和的战略</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部署，进一步落实《电力中长期交易基本规则—绿色电力交易专章》</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发改能源</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1123</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号</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Cs w:val="32"/>
          <w:highlight w:val="none"/>
          <w14:textFill>
            <w14:solidFill>
              <w14:schemeClr w14:val="tx1"/>
            </w14:solidFill>
          </w14:textFill>
        </w:rPr>
        <w:t>可再生能源绿色电力证书核发和交易规则</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》（国能发新能规〔2024〕67号）、《国家发展改革委</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财政部 </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国家能源局关于做好可再生能源绿色电力证书全覆盖工作 促进可再生能源电力消费的通知》（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发改能源</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1044</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号</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国家发展改革委 财政部 国家能源局关于享受中央政府补贴的绿电项目参与绿色电力交易有关事项的通知</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发改体改</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75</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号</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 w:cs="仿宋"/>
          <w:b w:val="0"/>
          <w:bCs w:val="0"/>
          <w:color w:val="000000" w:themeColor="text1"/>
          <w:sz w:val="32"/>
          <w:szCs w:val="32"/>
          <w:highlight w:val="none"/>
          <w14:textFill>
            <w14:solidFill>
              <w14:schemeClr w14:val="tx1"/>
            </w14:solidFill>
          </w14:textFill>
        </w:rPr>
        <w:t>等</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文件要求</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，服务新型能源体系和新型电力系统建设，引导绿色电力消费，加快绿色能源发展</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，结合云南电力市场实际，</w:t>
      </w:r>
      <w:r>
        <w:rPr>
          <w:rFonts w:hint="eastAsia" w:ascii="Times New Roman" w:hAnsi="Times New Roman" w:eastAsia="仿宋_GB2312" w:cs="Times New Roman"/>
          <w:b w:val="0"/>
          <w:bCs w:val="0"/>
          <w:color w:val="000000" w:themeColor="text1"/>
          <w:sz w:val="32"/>
          <w:szCs w:val="32"/>
          <w:highlight w:val="none"/>
          <w:lang w:val="zh-CN"/>
          <w14:textFill>
            <w14:solidFill>
              <w14:schemeClr w14:val="tx1"/>
            </w14:solidFill>
          </w14:textFill>
        </w:rPr>
        <w:t>制定本</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细则</w:t>
      </w:r>
      <w:r>
        <w:rPr>
          <w:rFonts w:hint="eastAsia" w:ascii="Times New Roman" w:hAnsi="Times New Roman" w:eastAsia="仿宋_GB2312" w:cs="Times New Roman"/>
          <w:b w:val="0"/>
          <w:bCs w:val="0"/>
          <w:color w:val="000000" w:themeColor="text1"/>
          <w:sz w:val="32"/>
          <w:szCs w:val="32"/>
          <w:highlight w:val="none"/>
          <w:lang w:val="zh-CN"/>
          <w14:textFill>
            <w14:solidFill>
              <w14:schemeClr w14:val="tx1"/>
            </w14:solidFill>
          </w14:textFill>
        </w:rPr>
        <w:t>。</w:t>
      </w:r>
    </w:p>
    <w:p w14:paraId="6FAE3AA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本细则所称绿色电力、可再生能源绿色电力证书、绿色电力交易按以下定义。</w:t>
      </w:r>
    </w:p>
    <w:p w14:paraId="782502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一）绿色电力是指符合国家有关政策要求的风电（含分散式风电和海上风电）、太阳能发电（含分布式光伏发电和光热发电）、常规水电、生物质发电、地热能发电、海洋能发电等已建档立卡的可再生能源发电项目所生产的全部电量。</w:t>
      </w:r>
    </w:p>
    <w:p w14:paraId="616425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二）可再生能源绿色电力证书（以下简称“绿证”）是指国家能源局对符合条件的可再生能源电量核发具有唯一代码标识的凭证，作为可再生能源电量环境属性的唯一证明，是认定可再生能源电力生产、消费的唯一凭证，1个绿证对应1000千瓦时可再生能源电量。</w:t>
      </w:r>
    </w:p>
    <w:p w14:paraId="3F86A4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三）绿色电力交易是指以绿色电力和对应绿色电力环境价值为标的物的电力交易品种，交易电力同时提供国家核发的绿证，用以满足发电企业、售电公司、电力用户等出售、购买绿色电力的需求。初期，参与绿色电力交易的发电侧主体为风电、光伏发电项目，条件成熟时，可逐步扩大至符合条件的其他可再生能源。</w:t>
      </w:r>
    </w:p>
    <w:p w14:paraId="2DB3EBA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方正小标宋_GBK" w:cs="方正小标宋_GBK"/>
          <w:b w:val="0"/>
          <w:bCs w:val="0"/>
          <w:color w:val="000000" w:themeColor="text1"/>
          <w:sz w:val="24"/>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本细则适用于开展2025年度及之后的云南省内绿色电力交易。</w:t>
      </w:r>
    </w:p>
    <w:p w14:paraId="506AA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第二章  市场成员</w:t>
      </w:r>
    </w:p>
    <w:p w14:paraId="34BE213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云南省绿色电力交易的市场成员包括</w:t>
      </w:r>
      <w:r>
        <w:rPr>
          <w:rFonts w:hint="default" w:ascii="Times New Roman" w:hAnsi="Times New Roman" w:eastAsia="仿宋_GB2312" w:cs="Times New Roman"/>
          <w:color w:val="000000" w:themeColor="text1"/>
          <w:szCs w:val="32"/>
          <w:highlight w:val="none"/>
          <w14:textFill>
            <w14:solidFill>
              <w14:schemeClr w14:val="tx1"/>
            </w14:solidFill>
          </w14:textFill>
        </w:rPr>
        <w:t>经营主体、电力市场运营机构和提供输配电服务的电网企业等</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p>
    <w:p w14:paraId="611CEE4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发电企业范围为云南电力市场已注册，满足绿证核发条件的可再生能源发电企业。根据绿证类型，发电企业分为两类：核发可交易绿证的可再生能源发电企业；暂不核发可交易绿证，相应的绿证随电量直接无偿划转的</w:t>
      </w:r>
      <w:r>
        <w:rPr>
          <w:rFonts w:hint="eastAsia" w:ascii="仿宋" w:hAnsi="仿宋" w:eastAsia="仿宋" w:cs="仿宋"/>
          <w:b w:val="0"/>
          <w:bCs w:val="0"/>
          <w:color w:val="000000" w:themeColor="text1"/>
          <w:highlight w:val="none"/>
          <w:lang w:val="en-US" w:eastAsia="zh-CN"/>
          <w14:textFill>
            <w14:solidFill>
              <w14:schemeClr w14:val="tx1"/>
            </w14:solidFill>
          </w14:textFill>
        </w:rPr>
        <w:t>2023年1月1日（不含）之前投产的</w:t>
      </w:r>
      <w:r>
        <w:rPr>
          <w:rFonts w:hint="eastAsia" w:ascii="仿宋" w:hAnsi="仿宋" w:cs="仿宋"/>
          <w:b w:val="0"/>
          <w:bCs w:val="0"/>
          <w:color w:val="000000" w:themeColor="text1"/>
          <w:highlight w:val="none"/>
          <w:lang w:val="en-US" w:eastAsia="zh-CN"/>
          <w14:textFill>
            <w14:solidFill>
              <w14:schemeClr w14:val="tx1"/>
            </w14:solidFill>
          </w14:textFill>
        </w:rPr>
        <w:t>存量</w:t>
      </w:r>
      <w:r>
        <w:rPr>
          <w:rFonts w:hint="eastAsia" w:ascii="仿宋" w:hAnsi="仿宋" w:eastAsia="仿宋" w:cs="仿宋"/>
          <w:b w:val="0"/>
          <w:bCs w:val="0"/>
          <w:color w:val="000000" w:themeColor="text1"/>
          <w:highlight w:val="none"/>
          <w:lang w:val="en-US" w:eastAsia="zh-CN"/>
          <w14:textFill>
            <w14:solidFill>
              <w14:schemeClr w14:val="tx1"/>
            </w14:solidFill>
          </w14:textFill>
        </w:rPr>
        <w:t>常规水电。</w:t>
      </w:r>
    </w:p>
    <w:p w14:paraId="2609803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电力用户为直接参与交易的市场化用户。</w:t>
      </w:r>
    </w:p>
    <w:p w14:paraId="7DCE2C1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售电公司为云南电力市场注册的售电公司。</w:t>
      </w:r>
    </w:p>
    <w:p w14:paraId="5246478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电网企业</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应为绿色电力交易提供公平的报装、计量、抄表、结算和收费等服务。</w:t>
      </w:r>
      <w:r>
        <w:rPr>
          <w:rFonts w:hint="eastAsia" w:ascii="Times New Roman" w:hAnsi="Times New Roman" w:eastAsia="仿宋_GB2312" w:cs="仿宋_GB2312"/>
          <w:color w:val="000000" w:themeColor="text1"/>
          <w:szCs w:val="32"/>
          <w:highlight w:val="none"/>
          <w14:textFill>
            <w14:solidFill>
              <w14:schemeClr w14:val="tx1"/>
            </w14:solidFill>
          </w14:textFill>
        </w:rPr>
        <w:t>电网企业</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对享受国家可再生能源补贴的绿电项目参与绿色电力交易所产生的溢价收益，</w:t>
      </w:r>
      <w:r>
        <w:rPr>
          <w:rFonts w:hint="default"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按相关规定</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做</w:t>
      </w:r>
      <w:r>
        <w:rPr>
          <w:rFonts w:hint="eastAsia" w:ascii="Times New Roman" w:hAnsi="Times New Roman" w:eastAsia="仿宋_GB2312" w:cs="仿宋_GB2312"/>
          <w:color w:val="000000" w:themeColor="text1"/>
          <w:szCs w:val="32"/>
          <w:highlight w:val="none"/>
          <w14:textFill>
            <w14:solidFill>
              <w14:schemeClr w14:val="tx1"/>
            </w14:solidFill>
          </w14:textFill>
        </w:rPr>
        <w:t>好参与电力市场交易补贴项目绿证收益的补贴扣减。</w:t>
      </w:r>
    </w:p>
    <w:p w14:paraId="5959BDA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昆明电力交易中心负责组织开展云南省绿色电力交易，</w:t>
      </w:r>
      <w:r>
        <w:rPr>
          <w:rFonts w:hint="eastAsia" w:ascii="Times New Roman" w:hAnsi="Times New Roman" w:eastAsia="仿宋_GB2312" w:cs="仿宋_GB2312"/>
          <w:b w:val="0"/>
          <w:bCs w:val="0"/>
          <w:color w:val="000000" w:themeColor="text1"/>
          <w:highlight w:val="none"/>
          <w:lang w:val="en-US" w:eastAsia="zh-CN"/>
          <w14:textFill>
            <w14:solidFill>
              <w14:schemeClr w14:val="tx1"/>
            </w14:solidFill>
          </w14:textFill>
        </w:rPr>
        <w:t>向广州电力交易中心提供绿色电力交易相关数据，配合做好绿证核发、划转工作。</w:t>
      </w:r>
    </w:p>
    <w:p w14:paraId="3D2348C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电力调度机构在确保电网安全的前提下，提供安全约束条件，开展安全校核，合理安排运行方式，执行绿色电力交易结果。</w:t>
      </w:r>
    </w:p>
    <w:p w14:paraId="5D7F9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第三章  注册登记</w:t>
      </w:r>
    </w:p>
    <w:p w14:paraId="056C232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已注册的售电公司和电力用户可直接参与绿色电力交易，不需要提供额外的注册信息。</w:t>
      </w:r>
    </w:p>
    <w:p w14:paraId="36243D7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发电企业应按照相关政策要求在国家可再生能源发电项目信息管理平台完成可再生能源发电项目建档立卡后，在国家绿证核发交易系统注册绿证账户。</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获得发电项目代码后，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包括存量常规水电在内的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发电企业需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及时</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向电力交易机构提供绿电项目信息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及</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绿电项目与交易单元的对应关系，经电力交易机构审核通过后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可参与</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色电力</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交易，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存量常规水电项目与交易单元的对应关系主要用于开展电力交易溯源。</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发电企业对绿电项目信息及其与交易单元的对应关系的真实性和准确性负责。</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市场主体注册信息发生变更时，应及时向电力交易机构提出变更申请。</w:t>
      </w:r>
    </w:p>
    <w:p w14:paraId="7104AAE1">
      <w:pPr>
        <w:keepNext w:val="0"/>
        <w:keepLines w:val="0"/>
        <w:pageBreakBefore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落实绿证全覆盖等工作部署</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可再生能源项目加快</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提升</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建档立卡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比例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进一步加强行业精细化管理和服务，支撑绿色电力证书核发和交易等工作，充分</w:t>
      </w:r>
      <w:r>
        <w:rPr>
          <w:rFonts w:hint="eastAsia" w:ascii="Times New Roman" w:hAnsi="Times New Roman" w:eastAsia="仿宋_GB2312" w:cs="Times New Roman"/>
          <w:color w:val="000000" w:themeColor="text1"/>
          <w:szCs w:val="32"/>
          <w:highlight w:val="none"/>
          <w14:textFill>
            <w14:solidFill>
              <w14:schemeClr w14:val="tx1"/>
            </w14:solidFill>
          </w14:textFill>
        </w:rPr>
        <w:t>发挥云南绿电价值</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14:paraId="3E2A5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第四章  交易组织</w:t>
      </w:r>
    </w:p>
    <w:p w14:paraId="690522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eastAsia"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kern w:val="2"/>
          <w:sz w:val="32"/>
          <w:szCs w:val="24"/>
          <w:highlight w:val="none"/>
          <w:lang w:val="en-US" w:eastAsia="zh-CN" w:bidi="ar-SA"/>
          <w14:textFill>
            <w14:solidFill>
              <w14:schemeClr w14:val="tx1"/>
            </w14:solidFill>
          </w14:textFill>
        </w:rPr>
        <w:t>第一节  基本要求</w:t>
      </w:r>
    </w:p>
    <w:p w14:paraId="6989B85C">
      <w:pPr>
        <w:keepNext w:val="0"/>
        <w:keepLines w:val="0"/>
        <w:pageBreakBefore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参与绿色电力交易的主体需满足云南省中长期电力市场的交易资格要求，按照省内相关电力市场细则执行。</w:t>
      </w:r>
    </w:p>
    <w:p w14:paraId="19D1D00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交易单元。市场初期，可再生能源发电企业</w:t>
      </w:r>
      <w:r>
        <w:rPr>
          <w:rFonts w:hint="eastAsia" w:ascii="仿宋_GB2312" w:hAnsi="仿宋_GB2312" w:eastAsia="仿宋_GB2312" w:cs="仿宋_GB2312"/>
          <w:b w:val="0"/>
          <w:bCs w:val="0"/>
          <w:color w:val="000000" w:themeColor="text1"/>
          <w:highlight w:val="none"/>
          <w14:textFill>
            <w14:solidFill>
              <w14:schemeClr w14:val="tx1"/>
            </w14:solidFill>
          </w14:textFill>
        </w:rPr>
        <w:t>以厂</w:t>
      </w:r>
      <w:r>
        <w:rPr>
          <w:rFonts w:hint="eastAsia" w:ascii="仿宋_GB2312" w:hAnsi="仿宋_GB2312" w:eastAsia="仿宋_GB2312" w:cs="仿宋_GB2312"/>
          <w:color w:val="000000" w:themeColor="text1"/>
          <w:highlight w:val="none"/>
          <w14:textFill>
            <w14:solidFill>
              <w14:schemeClr w14:val="tx1"/>
            </w14:solidFill>
          </w14:textFill>
        </w:rPr>
        <w:t>（交易电厂）</w:t>
      </w:r>
      <w:r>
        <w:rPr>
          <w:rFonts w:hint="eastAsia" w:ascii="仿宋_GB2312" w:hAnsi="仿宋_GB2312" w:eastAsia="仿宋_GB2312" w:cs="仿宋_GB2312"/>
          <w:b w:val="0"/>
          <w:bCs w:val="0"/>
          <w:color w:val="000000" w:themeColor="text1"/>
          <w:highlight w:val="none"/>
          <w14:textFill>
            <w14:solidFill>
              <w14:schemeClr w14:val="tx1"/>
            </w14:solidFill>
          </w14:textFill>
        </w:rPr>
        <w:t>为交易单元</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参与绿色电力</w:t>
      </w:r>
      <w:r>
        <w:rPr>
          <w:rFonts w:hint="eastAsia" w:ascii="仿宋_GB2312" w:hAnsi="仿宋_GB2312" w:eastAsia="仿宋_GB2312" w:cs="仿宋_GB2312"/>
          <w:b w:val="0"/>
          <w:bCs w:val="0"/>
          <w:color w:val="000000" w:themeColor="text1"/>
          <w:highlight w:val="none"/>
          <w14:textFill>
            <w14:solidFill>
              <w14:schemeClr w14:val="tx1"/>
            </w14:solidFill>
          </w14:textFill>
        </w:rPr>
        <w:t>交易</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批发用户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（参加批发交易的电力用户）</w:t>
      </w:r>
      <w:r>
        <w:rPr>
          <w:rFonts w:hint="eastAsia" w:ascii="仿宋_GB2312" w:hAnsi="仿宋_GB2312" w:eastAsia="仿宋_GB2312" w:cs="仿宋_GB2312"/>
          <w:b w:val="0"/>
          <w:bCs w:val="0"/>
          <w:color w:val="000000" w:themeColor="text1"/>
          <w:highlight w:val="none"/>
          <w14:textFill>
            <w14:solidFill>
              <w14:schemeClr w14:val="tx1"/>
            </w14:solidFill>
          </w14:textFill>
        </w:rPr>
        <w:t>以营销户号为交易单元</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参与绿色电力交易</w:t>
      </w:r>
      <w:r>
        <w:rPr>
          <w:rFonts w:hint="eastAsia" w:ascii="仿宋_GB2312" w:hAnsi="仿宋_GB2312" w:eastAsia="仿宋_GB2312" w:cs="仿宋_GB2312"/>
          <w:b w:val="0"/>
          <w:bCs w:val="0"/>
          <w:color w:val="000000" w:themeColor="text1"/>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零售用户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（参加零售交易的电力用户）</w:t>
      </w:r>
      <w:r>
        <w:rPr>
          <w:rFonts w:hint="eastAsia" w:ascii="仿宋_GB2312" w:hAnsi="仿宋_GB2312" w:eastAsia="仿宋_GB2312" w:cs="仿宋_GB2312"/>
          <w:b w:val="0"/>
          <w:bCs w:val="0"/>
          <w:color w:val="000000" w:themeColor="text1"/>
          <w:spacing w:val="-17"/>
          <w:sz w:val="32"/>
          <w:szCs w:val="32"/>
          <w:highlight w:val="none"/>
          <w14:textFill>
            <w14:solidFill>
              <w14:schemeClr w14:val="tx1"/>
            </w14:solidFill>
          </w14:textFill>
        </w:rPr>
        <w:t>在交易时可选择按企业交易单元（统一社会信用代码）或营销户号交易单元</w:t>
      </w:r>
      <w:r>
        <w:rPr>
          <w:rFonts w:hint="eastAsia" w:ascii="仿宋_GB2312" w:hAnsi="仿宋_GB2312" w:eastAsia="仿宋_GB2312" w:cs="仿宋_GB2312"/>
          <w:b w:val="0"/>
          <w:bCs w:val="0"/>
          <w:color w:val="000000" w:themeColor="text1"/>
          <w:spacing w:val="-17"/>
          <w:sz w:val="32"/>
          <w:szCs w:val="32"/>
          <w:highlight w:val="none"/>
          <w:lang w:val="en-US" w:eastAsia="zh-CN"/>
          <w14:textFill>
            <w14:solidFill>
              <w14:schemeClr w14:val="tx1"/>
            </w14:solidFill>
          </w14:textFill>
        </w:rPr>
        <w:t>参与绿色电力交易</w:t>
      </w:r>
      <w:r>
        <w:rPr>
          <w:rFonts w:hint="eastAsia" w:ascii="仿宋_GB2312" w:hAnsi="仿宋_GB2312" w:eastAsia="仿宋_GB2312" w:cs="仿宋_GB2312"/>
          <w:b w:val="0"/>
          <w:bCs w:val="0"/>
          <w:color w:val="000000" w:themeColor="text1"/>
          <w:spacing w:val="-17"/>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14:textFill>
            <w14:solidFill>
              <w14:schemeClr w14:val="tx1"/>
            </w14:solidFill>
          </w14:textFill>
        </w:rPr>
        <w:t>售电公司以公司为交易单元</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参与绿色电力交易。具备条件后，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可再生能源发电企业原则上以发电项目作为交易单元参与绿色电力交易。</w:t>
      </w:r>
    </w:p>
    <w:p w14:paraId="260A0F2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根据交易对象的差异，绿色电力交易可分为批发侧绿色电力交易和零售侧绿色电力交易。</w:t>
      </w:r>
    </w:p>
    <w:p w14:paraId="5A913FA4">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（一）批发侧绿色电力交易指批发交易用户（参加批发交易的电力用户和售电公司）与可再生能源发电企业之间开展的绿色电力交易。</w:t>
      </w:r>
    </w:p>
    <w:p w14:paraId="4FE91F21">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（二）零售侧绿色电力交易指零售用户与售电公司之间开展的绿色电力交易。</w:t>
      </w:r>
    </w:p>
    <w:p w14:paraId="2BFD4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eastAsia" w:ascii="Times New Roman" w:hAnsi="Times New Roman" w:eastAsia="方正小标宋_GBK" w:cs="方正小标宋_GBK"/>
          <w:b w:val="0"/>
          <w:bCs w:val="0"/>
          <w:color w:val="000000" w:themeColor="text1"/>
          <w:sz w:val="24"/>
          <w:szCs w:val="32"/>
          <w:highlight w:val="none"/>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kern w:val="2"/>
          <w:sz w:val="32"/>
          <w:szCs w:val="24"/>
          <w:highlight w:val="none"/>
          <w:lang w:val="en-US" w:eastAsia="zh-CN" w:bidi="ar-SA"/>
          <w14:textFill>
            <w14:solidFill>
              <w14:schemeClr w14:val="tx1"/>
            </w14:solidFill>
          </w14:textFill>
        </w:rPr>
        <w:t>第二节  批发侧绿色电力交易</w:t>
      </w:r>
    </w:p>
    <w:p w14:paraId="219A439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highlight w:val="none"/>
        </w:rPr>
        <w:t>云南</w:t>
      </w:r>
      <w:r>
        <w:rPr>
          <w:rFonts w:hint="eastAsia" w:ascii="仿宋_GB2312" w:hAnsi="仿宋_GB2312" w:eastAsia="仿宋_GB2312" w:cs="仿宋_GB2312"/>
          <w:highlight w:val="none"/>
          <w:lang w:val="en-US" w:eastAsia="zh-CN"/>
        </w:rPr>
        <w:t>绿色电力</w:t>
      </w:r>
      <w:r>
        <w:rPr>
          <w:rFonts w:hint="eastAsia" w:ascii="仿宋_GB2312" w:hAnsi="仿宋_GB2312" w:eastAsia="仿宋_GB2312" w:cs="仿宋_GB2312"/>
          <w:highlight w:val="none"/>
        </w:rPr>
        <w:t>交易现阶段主要</w:t>
      </w:r>
      <w:r>
        <w:rPr>
          <w:rFonts w:hint="eastAsia" w:ascii="仿宋_GB2312" w:hAnsi="仿宋_GB2312" w:eastAsia="仿宋_GB2312" w:cs="仿宋_GB2312"/>
          <w:highlight w:val="none"/>
          <w:lang w:val="en-US" w:eastAsia="zh-CN"/>
        </w:rPr>
        <w:t>包括</w:t>
      </w:r>
      <w:r>
        <w:rPr>
          <w:rFonts w:hint="eastAsia" w:ascii="仿宋_GB2312" w:hAnsi="仿宋_GB2312" w:eastAsia="仿宋_GB2312" w:cs="仿宋_GB2312"/>
          <w:highlight w:val="none"/>
        </w:rPr>
        <w:t>直接交易和</w:t>
      </w:r>
      <w:r>
        <w:rPr>
          <w:rFonts w:hint="eastAsia" w:ascii="仿宋_GB2312" w:hAnsi="仿宋_GB2312" w:eastAsia="仿宋_GB2312" w:cs="仿宋_GB2312"/>
          <w:highlight w:val="none"/>
          <w:lang w:val="en-US" w:eastAsia="zh-CN"/>
        </w:rPr>
        <w:t>事前</w:t>
      </w:r>
      <w:r>
        <w:rPr>
          <w:rFonts w:hint="eastAsia" w:ascii="仿宋_GB2312" w:hAnsi="仿宋_GB2312" w:eastAsia="仿宋_GB2312" w:cs="仿宋_GB2312"/>
          <w:highlight w:val="none"/>
        </w:rPr>
        <w:t>合同转让交易</w:t>
      </w:r>
      <w:r>
        <w:rPr>
          <w:rFonts w:hint="eastAsia" w:ascii="仿宋_GB2312" w:hAnsi="仿宋_GB2312" w:eastAsia="仿宋_GB2312" w:cs="仿宋_GB2312"/>
          <w:highlight w:val="none"/>
          <w:lang w:eastAsia="zh-CN"/>
        </w:rPr>
        <w:t>。</w:t>
      </w:r>
    </w:p>
    <w:p w14:paraId="336BDC2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交易周期。</w:t>
      </w:r>
      <w:r>
        <w:rPr>
          <w:rFonts w:hint="eastAsia" w:ascii="仿宋_GB2312" w:hAnsi="仿宋_GB2312" w:eastAsia="仿宋_GB2312" w:cs="仿宋_GB2312"/>
          <w:highlight w:val="none"/>
        </w:rPr>
        <w:t>直接交易</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暂按</w:t>
      </w:r>
      <w:r>
        <w:rPr>
          <w:rFonts w:hint="eastAsia" w:ascii="仿宋_GB2312" w:hAnsi="仿宋_GB2312" w:eastAsia="仿宋_GB2312" w:cs="仿宋_GB2312"/>
          <w:b w:val="0"/>
          <w:bCs w:val="0"/>
          <w:color w:val="000000" w:themeColor="text1"/>
          <w:highlight w:val="none"/>
          <w14:textFill>
            <w14:solidFill>
              <w14:schemeClr w14:val="tx1"/>
            </w14:solidFill>
          </w14:textFill>
        </w:rPr>
        <w:t>年（多年）、月（多月）</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、日开展，</w:t>
      </w:r>
      <w:r>
        <w:rPr>
          <w:rFonts w:hint="eastAsia" w:ascii="仿宋_GB2312" w:hAnsi="仿宋_GB2312" w:eastAsia="仿宋_GB2312" w:cs="仿宋_GB2312"/>
          <w:highlight w:val="none"/>
        </w:rPr>
        <w:t>合同转让交易</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暂</w:t>
      </w:r>
      <w:r>
        <w:rPr>
          <w:rFonts w:hint="eastAsia" w:ascii="仿宋_GB2312" w:hAnsi="仿宋_GB2312" w:eastAsia="仿宋_GB2312" w:cs="仿宋_GB2312"/>
          <w:highlight w:val="none"/>
          <w:lang w:val="en-US" w:eastAsia="zh-CN"/>
        </w:rPr>
        <w:t>按月开展。</w:t>
      </w:r>
    </w:p>
    <w:p w14:paraId="39DF42C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w w:val="100"/>
          <w:highlight w:val="none"/>
          <w:lang w:val="en-US" w:eastAsia="zh-CN"/>
        </w:rPr>
        <w:t>直接</w:t>
      </w:r>
      <w:r>
        <w:rPr>
          <w:rFonts w:hint="eastAsia" w:ascii="仿宋_GB2312" w:hAnsi="仿宋_GB2312" w:eastAsia="仿宋_GB2312" w:cs="仿宋_GB2312"/>
          <w:w w:val="100"/>
          <w:highlight w:val="none"/>
        </w:rPr>
        <w:t>交易是指发电企业</w:t>
      </w:r>
      <w:r>
        <w:rPr>
          <w:rFonts w:hint="eastAsia" w:ascii="仿宋_GB2312" w:hAnsi="仿宋_GB2312" w:eastAsia="仿宋_GB2312" w:cs="仿宋_GB2312"/>
          <w:w w:val="100"/>
          <w:highlight w:val="none"/>
          <w:lang w:val="en-US" w:eastAsia="zh-CN"/>
        </w:rPr>
        <w:t>与</w:t>
      </w:r>
      <w:r>
        <w:rPr>
          <w:rFonts w:hint="eastAsia" w:ascii="仿宋_GB2312" w:hAnsi="仿宋_GB2312" w:eastAsia="仿宋_GB2312" w:cs="仿宋_GB2312"/>
          <w:w w:val="100"/>
          <w:highlight w:val="none"/>
        </w:rPr>
        <w:t>售电公司、批发用户</w:t>
      </w:r>
      <w:r>
        <w:rPr>
          <w:rFonts w:hint="eastAsia" w:ascii="仿宋_GB2312" w:hAnsi="仿宋_GB2312" w:eastAsia="仿宋_GB2312" w:cs="仿宋_GB2312"/>
          <w:highlight w:val="none"/>
        </w:rPr>
        <w:t>直接开展的</w:t>
      </w:r>
      <w:r>
        <w:rPr>
          <w:rFonts w:hint="eastAsia" w:ascii="仿宋_GB2312" w:hAnsi="仿宋_GB2312" w:eastAsia="仿宋_GB2312" w:cs="仿宋_GB2312"/>
          <w:highlight w:val="none"/>
          <w:lang w:val="en-US" w:eastAsia="zh-CN"/>
        </w:rPr>
        <w:t>绿色电力</w:t>
      </w:r>
      <w:r>
        <w:rPr>
          <w:rFonts w:hint="eastAsia" w:ascii="仿宋_GB2312" w:hAnsi="仿宋_GB2312" w:eastAsia="仿宋_GB2312" w:cs="仿宋_GB2312"/>
          <w:w w:val="100"/>
          <w:highlight w:val="none"/>
        </w:rPr>
        <w:t>交易。</w:t>
      </w:r>
    </w:p>
    <w:p w14:paraId="36BEB028">
      <w:pPr>
        <w:pageBreakBefore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事前合同转让交易</w:t>
      </w:r>
      <w:r>
        <w:rPr>
          <w:rFonts w:hint="eastAsia" w:ascii="仿宋_GB2312" w:hAnsi="仿宋_GB2312" w:eastAsia="仿宋_GB2312" w:cs="仿宋_GB2312"/>
          <w:highlight w:val="none"/>
          <w:lang w:val="en-US" w:eastAsia="zh-CN"/>
        </w:rPr>
        <w:t>包括发电合同、用电合同转让，绿证部分随电能量部分一并转让。</w:t>
      </w:r>
    </w:p>
    <w:p w14:paraId="64880175">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（一）</w:t>
      </w:r>
      <w:r>
        <w:rPr>
          <w:rFonts w:hint="eastAsia" w:ascii="仿宋_GB2312" w:hAnsi="仿宋_GB2312" w:eastAsia="仿宋_GB2312" w:cs="仿宋_GB2312"/>
          <w:highlight w:val="none"/>
          <w:lang w:val="en-US" w:eastAsia="zh-CN"/>
        </w:rPr>
        <w:t>发电合同转让交易是指可参与绿色电力交易的发电企业之间，对已持有的绿色电力交易合同进行相互转让的交易。其中，同一发电企业成交多笔绿色电力交易合同的，各笔绿色电力交易合同的出让电量，按照该笔绿色电力交易合同电量占该发电企业当月所有可出让绿色电力交易电量的比例，乘以该发电企业总出让绿色电力交易电量确定。电能量部分的出让价格为其所有可出让绿色电力交易电量的加权平均价；绿证部分的出让价格为对应出让绿色电力交易合同的绿证价格。发电企业受让电量不得超过其剩余发电能力。</w:t>
      </w:r>
    </w:p>
    <w:p w14:paraId="36CE764E">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（二）</w:t>
      </w:r>
      <w:r>
        <w:rPr>
          <w:rFonts w:hint="eastAsia" w:ascii="仿宋_GB2312" w:hAnsi="仿宋_GB2312" w:eastAsia="仿宋_GB2312" w:cs="仿宋_GB2312"/>
          <w:highlight w:val="none"/>
          <w:lang w:val="en-US" w:eastAsia="zh-CN"/>
        </w:rPr>
        <w:t>用电合同转让交易是指批发用户、售电公司之间，对已持有的绿色电力交易合同进行相互转让的交易。其中，同一批发用户、售电公司成交多笔绿色电力交易合同的，各笔绿色电力交易合同的出让电量，按照该笔绿色电力交易合同电量占该批发用户、售电公司当月所有可出让绿色电力交易电量的比例，乘以该批发用户、售电公司总出让绿色电力交易电量确定。电能量部分的出让价格为其所有可出让绿色电力交易电量的加权平均价；绿证部分的出让价格为对应出让绿色电力交易合同的绿证价格。用电侧受让电量不得超过其剩余用电需求。</w:t>
      </w:r>
    </w:p>
    <w:p w14:paraId="6D777F56">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（三）</w:t>
      </w:r>
      <w:r>
        <w:rPr>
          <w:rFonts w:hint="eastAsia" w:ascii="仿宋_GB2312" w:hAnsi="仿宋_GB2312" w:eastAsia="仿宋_GB2312" w:cs="仿宋_GB2312"/>
          <w:highlight w:val="none"/>
          <w:lang w:val="en-US" w:eastAsia="zh-CN"/>
        </w:rPr>
        <w:t>当月度所有交易品种关闸后，每月采用双边协商</w:t>
      </w:r>
      <w:r>
        <w:rPr>
          <w:rFonts w:hint="eastAsia" w:ascii="仿宋_GB2312" w:hAnsi="仿宋_GB2312" w:eastAsia="仿宋_GB2312" w:cs="仿宋_GB2312"/>
          <w:spacing w:val="-6"/>
          <w:sz w:val="32"/>
          <w:highlight w:val="none"/>
          <w:lang w:val="en-US" w:eastAsia="zh-CN"/>
        </w:rPr>
        <w:t>和</w:t>
      </w:r>
      <w:r>
        <w:rPr>
          <w:rFonts w:hint="eastAsia" w:ascii="仿宋_GB2312" w:hAnsi="仿宋_GB2312" w:eastAsia="仿宋_GB2312" w:cs="仿宋_GB2312"/>
          <w:b w:val="0"/>
          <w:bCs w:val="0"/>
          <w:color w:val="000000" w:themeColor="text1"/>
          <w:spacing w:val="-6"/>
          <w:sz w:val="32"/>
          <w:highlight w:val="none"/>
          <w:lang w:val="en-US" w:eastAsia="zh-CN"/>
          <w14:textFill>
            <w14:solidFill>
              <w14:schemeClr w14:val="tx1"/>
            </w14:solidFill>
          </w14:textFill>
        </w:rPr>
        <w:t>挂牌</w:t>
      </w:r>
      <w:r>
        <w:rPr>
          <w:rFonts w:hint="eastAsia" w:ascii="仿宋_GB2312" w:hAnsi="仿宋_GB2312" w:eastAsia="仿宋_GB2312" w:cs="仿宋_GB2312"/>
          <w:spacing w:val="-6"/>
          <w:sz w:val="32"/>
          <w:highlight w:val="none"/>
          <w:lang w:val="en-US" w:eastAsia="zh-CN"/>
        </w:rPr>
        <w:t>的方式，开展次月的合同电量（带分时曲线）转让交易。</w:t>
      </w:r>
    </w:p>
    <w:p w14:paraId="591679A5">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（四）事前</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合同转让其他事项按照省内相关电力市场细则相关要求执行。</w:t>
      </w:r>
    </w:p>
    <w:p w14:paraId="13E2083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直接交易的交易方式</w:t>
      </w:r>
    </w:p>
    <w:p w14:paraId="575396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交易方式包括双边协商、挂牌等，后续根据市场需要进</w:t>
      </w:r>
      <w:r>
        <w:rPr>
          <w:rFonts w:hint="eastAsia" w:ascii="仿宋_GB2312" w:hAnsi="仿宋_GB2312" w:eastAsia="仿宋_GB2312" w:cs="仿宋_GB2312"/>
          <w:b w:val="0"/>
          <w:bCs w:val="0"/>
          <w:color w:val="000000" w:themeColor="text1"/>
          <w:spacing w:val="-6"/>
          <w:sz w:val="32"/>
          <w:highlight w:val="none"/>
          <w:lang w:val="en-US" w:eastAsia="zh-CN"/>
          <w14:textFill>
            <w14:solidFill>
              <w14:schemeClr w14:val="tx1"/>
            </w14:solidFill>
          </w14:textFill>
        </w:rPr>
        <w:t>一步拓展交易方式，具体以电力交易机构的交易公告信息为准。</w:t>
      </w:r>
    </w:p>
    <w:p w14:paraId="6D12AD8B">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2"/>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（一）双边协商交易</w:t>
      </w:r>
    </w:p>
    <w:p w14:paraId="5659508C">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市场主体之间自主协商交易标的数量、价格等交易初步意向，在绿电双边协商交易申报截止前，通过电力交易平台进行申报确认成交。申报数据经过合理性校验后，形成绿电双边交易预成交结果。交易双方可在规定时间内对绿电双边交易合同的电能量价格和绿证价格进行调整，由一方填报经双方协商一致，另一方确认后生效；若未填报或未经确认，则继续执行原交易合同价格。</w:t>
      </w:r>
    </w:p>
    <w:p w14:paraId="37657F29">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2"/>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（二）挂牌交易</w:t>
      </w:r>
    </w:p>
    <w:p w14:paraId="068226BB">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市场主体通过电力交易平台，将需求绿电电量或者可供绿电电量的数量和价格（电能量价格、绿证价格）等信息对外发布要约，由另一方市场主体提出接受该要约的申请。挂牌交易规则：</w:t>
      </w:r>
    </w:p>
    <w:p w14:paraId="449A263F">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1.挂牌方申报挂牌电量、挂牌电能量价格、挂牌绿证价格。</w:t>
      </w:r>
    </w:p>
    <w:p w14:paraId="2999DD8A">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2.摘牌方根据挂牌信息，申报摘牌电量。当全部摘牌电量之和小于（或等于）全部挂牌电量时，摘牌电量全部成交，挂牌电量按等比例匹配摘牌电量进行成交；当全部摘牌电量之和大于全部挂牌电量时，挂牌电量全部成交，摘牌电量按等比例匹配挂牌电量进行成交。</w:t>
      </w:r>
    </w:p>
    <w:p w14:paraId="5435C901">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3.成交价格为挂牌价格（挂牌电能量价格、挂牌绿证价格）。</w:t>
      </w:r>
    </w:p>
    <w:p w14:paraId="20173C17">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现阶段采用卖方挂牌，买方摘牌的方式组织交易。</w:t>
      </w:r>
    </w:p>
    <w:p w14:paraId="67AA25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交易申报</w:t>
      </w:r>
      <w:bookmarkStart w:id="0" w:name="_GoBack"/>
      <w:bookmarkEnd w:id="0"/>
    </w:p>
    <w:p w14:paraId="06B53EF9">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（一）核发可交易绿证的可再生能源发电企业的绿色电力交易结算结果用于支撑绿证划转。存量常规水电按照省内相关电力市场细则要求及交易流程参与中长期交易，并据此开展电力交易</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溯源明确存量常规水电的电量流向，用于支撑存量常规水电绿证划转</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w:p>
    <w:p w14:paraId="0ECB65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（二）参与交易的主体应在申报绿色电力交易电量的同时，分别申报绿色电力的电能量价格、绿证价格。</w:t>
      </w:r>
    </w:p>
    <w:p w14:paraId="430CF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（三）绿证价格申报的最小单位为</w:t>
      </w:r>
      <w:r>
        <w:rPr>
          <w:rFonts w:hint="eastAsia" w:ascii="Times New Roman" w:hAnsi="Times New Roman" w:eastAsia="仿宋" w:cs="华文仿宋"/>
          <w:color w:val="000000" w:themeColor="text1"/>
          <w:sz w:val="32"/>
          <w:szCs w:val="32"/>
          <w:highlight w:val="none"/>
          <w14:textFill>
            <w14:solidFill>
              <w14:schemeClr w14:val="tx1"/>
            </w14:solidFill>
          </w14:textFill>
        </w:rPr>
        <w:t>0.01元/MWh</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。核发可交易绿证的发电企业绿证价格申报值不小于零。</w:t>
      </w:r>
    </w:p>
    <w:p w14:paraId="08C8B4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（四）交易电量、电能量价格等其他申报要求按照省内相关电力市场细则执行。</w:t>
      </w:r>
    </w:p>
    <w:p w14:paraId="44DC9B3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申报数据合理性校验。批发侧绿色电力交易与其他中长期电力交易共用上限，具体要求按照省内相关电力市场细则执行。</w:t>
      </w:r>
    </w:p>
    <w:p w14:paraId="7DDE53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安全校核。电力交易机构在电力调度机构提供的安全约束条件下依据规则出清，形成无约束交易结果，提交至电力调度机构进行安全校核。电力调度机构应在规定时限内返回安全校核结果，电力交易机构根据安全校核结果发布交易结果。经营主体对交易结果有异议的，应在规定时间内向电力交易机构提出，由电力交易机构会同电力调度机构负责解释。</w:t>
      </w:r>
    </w:p>
    <w:p w14:paraId="1E8A1B3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除年度双边交易外，各类绿色电力交易不再另行签订合同，以交易正式结果作为结算依据。</w:t>
      </w:r>
    </w:p>
    <w:p w14:paraId="02B16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eastAsia" w:ascii="Times New Roman" w:hAnsi="Times New Roman" w:eastAsia="楷体_GB2312" w:cs="楷体_GB2312"/>
          <w:b w:val="0"/>
          <w:bCs w:val="0"/>
          <w:color w:val="000000" w:themeColor="text1"/>
          <w:kern w:val="2"/>
          <w:sz w:val="32"/>
          <w:szCs w:val="24"/>
          <w:highlight w:val="none"/>
          <w:lang w:val="en-US" w:eastAsia="zh-CN" w:bidi="ar-SA"/>
          <w14:textFill>
            <w14:solidFill>
              <w14:schemeClr w14:val="tx1"/>
            </w14:solidFill>
          </w14:textFill>
        </w:rPr>
      </w:pPr>
      <w:r>
        <w:rPr>
          <w:rFonts w:hint="eastAsia" w:ascii="Times New Roman" w:hAnsi="Times New Roman" w:eastAsia="楷体_GB2312" w:cs="楷体_GB2312"/>
          <w:b w:val="0"/>
          <w:bCs w:val="0"/>
          <w:color w:val="000000" w:themeColor="text1"/>
          <w:kern w:val="2"/>
          <w:sz w:val="32"/>
          <w:szCs w:val="24"/>
          <w:highlight w:val="none"/>
          <w:lang w:val="en-US" w:eastAsia="zh-CN" w:bidi="ar-SA"/>
          <w14:textFill>
            <w14:solidFill>
              <w14:schemeClr w14:val="tx1"/>
            </w14:solidFill>
          </w14:textFill>
        </w:rPr>
        <w:t>第三节  零售侧绿色电力交易</w:t>
      </w:r>
    </w:p>
    <w:p w14:paraId="3694B2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零售侧绿色电力交易通过</w:t>
      </w:r>
      <w:r>
        <w:rPr>
          <w:rFonts w:hint="eastAsia" w:ascii="仿宋_GB2312" w:hAnsi="仿宋_GB2312" w:eastAsia="仿宋_GB2312" w:cs="仿宋_GB2312"/>
          <w:b w:val="0"/>
          <w:bCs w:val="0"/>
          <w:color w:val="000000" w:themeColor="text1"/>
          <w:sz w:val="32"/>
          <w:highlight w:val="none"/>
          <w14:textFill>
            <w14:solidFill>
              <w14:schemeClr w14:val="tx1"/>
            </w14:solidFill>
          </w14:textFill>
        </w:rPr>
        <w:t>零售用户向售电公司购买</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绿色</w:t>
      </w:r>
      <w:r>
        <w:rPr>
          <w:rFonts w:hint="eastAsia" w:ascii="仿宋_GB2312" w:hAnsi="仿宋_GB2312" w:eastAsia="仿宋_GB2312" w:cs="仿宋_GB2312"/>
          <w:color w:val="000000" w:themeColor="text1"/>
          <w:highlight w:val="none"/>
          <w14:textFill>
            <w14:solidFill>
              <w14:schemeClr w14:val="tx1"/>
            </w14:solidFill>
          </w14:textFill>
        </w:rPr>
        <w:t>电力零售套餐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的方式开展。</w:t>
      </w:r>
    </w:p>
    <w:p w14:paraId="74DE372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24"/>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相较于普通的</w:t>
      </w:r>
      <w:r>
        <w:rPr>
          <w:rFonts w:hint="eastAsia" w:ascii="仿宋_GB2312" w:hAnsi="仿宋_GB2312" w:eastAsia="仿宋_GB2312" w:cs="仿宋_GB2312"/>
          <w:color w:val="000000" w:themeColor="text1"/>
          <w:highlight w:val="none"/>
          <w14:textFill>
            <w14:solidFill>
              <w14:schemeClr w14:val="tx1"/>
            </w14:solidFill>
          </w14:textFill>
        </w:rPr>
        <w:t>电力零售套餐</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绿色</w:t>
      </w:r>
      <w:r>
        <w:rPr>
          <w:rFonts w:hint="eastAsia" w:ascii="仿宋_GB2312" w:hAnsi="仿宋_GB2312" w:eastAsia="仿宋_GB2312" w:cs="仿宋_GB2312"/>
          <w:color w:val="000000" w:themeColor="text1"/>
          <w:highlight w:val="none"/>
          <w14:textFill>
            <w14:solidFill>
              <w14:schemeClr w14:val="tx1"/>
            </w14:solidFill>
          </w14:textFill>
        </w:rPr>
        <w:t>电力零售套餐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的套餐参数增加</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绿电类型、绿色电力交易电量、绿证价格、</w:t>
      </w:r>
      <w:r>
        <w:rPr>
          <w:rFonts w:hint="eastAsia" w:ascii="仿宋_GB2312" w:hAnsi="仿宋_GB2312" w:eastAsia="仿宋_GB2312" w:cs="仿宋_GB2312"/>
          <w:b w:val="0"/>
          <w:bCs w:val="0"/>
          <w:color w:val="000000" w:themeColor="text1"/>
          <w:sz w:val="32"/>
          <w:szCs w:val="24"/>
          <w:highlight w:val="none"/>
          <w:lang w:val="en-US" w:eastAsia="zh-CN"/>
          <w14:textFill>
            <w14:solidFill>
              <w14:schemeClr w14:val="tx1"/>
            </w14:solidFill>
          </w14:textFill>
        </w:rPr>
        <w:t>是否允许售电公司确认溯源结果</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w:t>
      </w:r>
    </w:p>
    <w:p w14:paraId="3EB970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绿电类型。现阶段，可选绿电类型包括“其他水电”（除存量常规水电外的其他水电）、“风电”“光伏”。后续若其他类型绿电，如“生物质发电”“地热能发电”等进入市场，经电力交易机构公告后，可选绿电类型相应增加。</w:t>
      </w:r>
    </w:p>
    <w:p w14:paraId="74DFDBA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（二）绿色电力交易电量。</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分别约定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“其他水电”“风电”“光伏”等各类型绿电的电量，申报电量</w:t>
      </w:r>
      <w:r>
        <w:rPr>
          <w:rFonts w:hint="eastAsia" w:ascii="仿宋_GB2312" w:hAnsi="仿宋_GB2312" w:eastAsia="仿宋_GB2312" w:cs="仿宋_GB2312"/>
          <w:color w:val="000000" w:themeColor="text1"/>
          <w:highlight w:val="none"/>
          <w14:textFill>
            <w14:solidFill>
              <w14:schemeClr w14:val="tx1"/>
            </w14:solidFill>
          </w14:textFill>
        </w:rPr>
        <w:t>通过交易周期内实际用电量的一定比例的方式明确。申报最小单位为1%，分别约定“其他水电</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风电</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光伏”等各类型绿电的比例，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绿电</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类型可多选</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各约定比例不大于100%，不小于0，且所有比例加总不大于100%。</w:t>
      </w:r>
    </w:p>
    <w:p w14:paraId="74D44D1C">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24"/>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（三）绿证价格。申报值不小于零，</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最小单位为</w:t>
      </w:r>
      <w:r>
        <w:rPr>
          <w:rFonts w:hint="eastAsia" w:ascii="Times New Roman" w:hAnsi="Times New Roman" w:eastAsia="仿宋" w:cs="华文仿宋"/>
          <w:color w:val="000000" w:themeColor="text1"/>
          <w:sz w:val="32"/>
          <w:szCs w:val="32"/>
          <w:highlight w:val="none"/>
          <w14:textFill>
            <w14:solidFill>
              <w14:schemeClr w14:val="tx1"/>
            </w14:solidFill>
          </w14:textFill>
        </w:rPr>
        <w:t>0.01元/MWh</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w:t>
      </w:r>
    </w:p>
    <w:p w14:paraId="3D0FEAE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24"/>
          <w:highlight w:val="none"/>
          <w:lang w:val="en-US" w:eastAsia="zh-CN"/>
          <w14:textFill>
            <w14:solidFill>
              <w14:schemeClr w14:val="tx1"/>
            </w14:solidFill>
          </w14:textFill>
        </w:rPr>
        <w:t>（四）是否允许售电公司确认溯源结果。若零售用户选择“是”，则在零售市场溯源过程中，售电公司可以调整并确认该零售用户的溯源结果，无需零售用户确认；若零售用户选择“否”，则售电公司调整溯源结果后，需经零售用户确认后才生效。</w:t>
      </w:r>
    </w:p>
    <w:p w14:paraId="1AA1FBF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绿色电力零售套餐可通过</w:t>
      </w:r>
      <w:r>
        <w:rPr>
          <w:rFonts w:hint="eastAsia" w:ascii="仿宋_GB2312" w:hAnsi="仿宋_GB2312" w:eastAsia="仿宋_GB2312" w:cs="仿宋_GB2312"/>
          <w:b w:val="0"/>
          <w:bCs w:val="0"/>
          <w:color w:val="000000" w:themeColor="text1"/>
          <w:sz w:val="32"/>
          <w:highlight w:val="none"/>
          <w14:textFill>
            <w14:solidFill>
              <w14:schemeClr w14:val="tx1"/>
            </w14:solidFill>
          </w14:textFill>
        </w:rPr>
        <w:t>标准套餐交易、定制套餐交易</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两种方式进行，交易流程按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省内相关电力市场细则有关规定执行</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w:t>
      </w:r>
    </w:p>
    <w:p w14:paraId="1324879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绿色电力交易零售匹配。售电公司在</w:t>
      </w:r>
      <w:r>
        <w:rPr>
          <w:rFonts w:hint="eastAsia" w:ascii="仿宋_GB2312" w:hAnsi="仿宋_GB2312" w:eastAsia="仿宋_GB2312" w:cs="仿宋_GB2312"/>
          <w:color w:val="000000" w:themeColor="text1"/>
          <w:highlight w:val="none"/>
          <w14:textFill>
            <w14:solidFill>
              <w14:schemeClr w14:val="tx1"/>
            </w14:solidFill>
          </w14:textFill>
        </w:rPr>
        <w:t>批发侧绿色电力交易</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后，需根据</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绿色电力零售合同约定，将常规批发侧绿色电力交易结果（含“其他水电”“风电”“光伏”等核发可交易绿证的各类发电企业的交易结果）匹配给零售用户。</w:t>
      </w:r>
    </w:p>
    <w:p w14:paraId="12DC757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匹配遵循如下要求：</w:t>
      </w:r>
    </w:p>
    <w:p w14:paraId="33FF8D65">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电力交易机构在交割月结束后、绿色电力交易结算前组织零售匹配，具体以电力交易机构的交易公告信息为准。匹</w:t>
      </w:r>
      <w:r>
        <w:rPr>
          <w:rFonts w:hint="eastAsia" w:ascii="仿宋_GB2312" w:hAnsi="仿宋_GB2312" w:eastAsia="仿宋_GB2312" w:cs="仿宋_GB2312"/>
          <w:b w:val="0"/>
          <w:bCs w:val="0"/>
          <w:color w:val="000000" w:themeColor="text1"/>
          <w:spacing w:val="-6"/>
          <w:sz w:val="32"/>
          <w:highlight w:val="none"/>
          <w:lang w:val="en-US" w:eastAsia="zh-CN"/>
          <w14:textFill>
            <w14:solidFill>
              <w14:schemeClr w14:val="tx1"/>
            </w14:solidFill>
          </w14:textFill>
        </w:rPr>
        <w:t>配由售电公司依据</w:t>
      </w:r>
      <w:r>
        <w:rPr>
          <w:rFonts w:hint="eastAsia" w:ascii="仿宋_GB2312" w:hAnsi="仿宋_GB2312" w:eastAsia="仿宋_GB2312" w:cs="仿宋_GB2312"/>
          <w:color w:val="000000" w:themeColor="text1"/>
          <w:spacing w:val="-6"/>
          <w:sz w:val="32"/>
          <w:highlight w:val="none"/>
          <w14:textFill>
            <w14:solidFill>
              <w14:schemeClr w14:val="tx1"/>
            </w14:solidFill>
          </w14:textFill>
        </w:rPr>
        <w:t>绿色电力零售套餐</w:t>
      </w:r>
      <w:r>
        <w:rPr>
          <w:rFonts w:hint="eastAsia" w:ascii="仿宋_GB2312" w:hAnsi="仿宋_GB2312" w:eastAsia="仿宋_GB2312" w:cs="仿宋_GB2312"/>
          <w:color w:val="000000" w:themeColor="text1"/>
          <w:spacing w:val="-6"/>
          <w:sz w:val="32"/>
          <w:highlight w:val="none"/>
          <w:lang w:val="en-US" w:eastAsia="zh-CN"/>
          <w14:textFill>
            <w14:solidFill>
              <w14:schemeClr w14:val="tx1"/>
            </w14:solidFill>
          </w14:textFill>
        </w:rPr>
        <w:t>约定开展</w:t>
      </w:r>
      <w:r>
        <w:rPr>
          <w:rFonts w:hint="eastAsia" w:ascii="仿宋_GB2312" w:hAnsi="仿宋_GB2312" w:eastAsia="仿宋_GB2312" w:cs="仿宋_GB2312"/>
          <w:b w:val="0"/>
          <w:bCs w:val="0"/>
          <w:color w:val="000000" w:themeColor="text1"/>
          <w:spacing w:val="-6"/>
          <w:sz w:val="32"/>
          <w:highlight w:val="none"/>
          <w:lang w:val="en-US" w:eastAsia="zh-CN"/>
          <w14:textFill>
            <w14:solidFill>
              <w14:schemeClr w14:val="tx1"/>
            </w14:solidFill>
          </w14:textFill>
        </w:rPr>
        <w:t>，无需用户确认。</w:t>
      </w:r>
    </w:p>
    <w:p w14:paraId="5EC7DAA9">
      <w:pPr>
        <w:pageBreakBefore w:val="0"/>
        <w:numPr>
          <w:ilvl w:val="0"/>
          <w:numId w:val="3"/>
        </w:numPr>
        <w:kinsoku/>
        <w:wordWrap/>
        <w:overflowPunct/>
        <w:topLinePunct w:val="0"/>
        <w:autoSpaceDE/>
        <w:autoSpaceDN/>
        <w:bidi w:val="0"/>
        <w:adjustRightInd/>
        <w:snapToGrid/>
        <w:spacing w:line="360" w:lineRule="auto"/>
        <w:ind w:leftChars="0" w:firstLine="640" w:firstLineChars="20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交易电量匹配</w:t>
      </w:r>
    </w:p>
    <w:p w14:paraId="0DF538E1">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售电公司按照营销户号，将交易合同逐笔匹配给签订了绿色电力零售套餐的零售用户，匹配满足：</w:t>
      </w:r>
    </w:p>
    <w:p w14:paraId="6240BEB1">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ascii="Times New Roman" w:hAnsi="Times New Roman"/>
          <w:b w:val="0"/>
          <w:bCs w:val="0"/>
          <w:i/>
          <w:iCs/>
          <w:color w:val="000000" w:themeColor="text1"/>
          <w:highlight w:val="none"/>
          <w:lang w:val="en-US" w:eastAsia="zh-CN"/>
          <w14:textFill>
            <w14:solidFill>
              <w14:schemeClr w14:val="tx1"/>
            </w14:solidFill>
          </w14:textFill>
        </w:rPr>
      </w:pPr>
      <m:oMathPara>
        <m:oMath>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m:t>
              </m:r>
              <m:r>
                <m:rPr/>
                <w:rPr>
                  <w:rFonts w:hint="default" w:ascii="Cambria Math" w:hAnsi="Cambria Math"/>
                  <w:color w:val="000000" w:themeColor="text1"/>
                  <w:highlight w:val="none"/>
                  <w:lang w:val="en-US" w:eastAsia="zh-CN"/>
                  <w14:textFill>
                    <w14:solidFill>
                      <w14:schemeClr w14:val="tx1"/>
                    </w14:solidFill>
                  </w14:textFill>
                </w:rPr>
                <m:t>1</m:t>
              </m:r>
              <m:ctrlPr>
                <w:rPr>
                  <w:rFonts w:ascii="Cambria Math" w:hAnsi="Cambria Math"/>
                  <w:b w:val="0"/>
                  <w:bCs w:val="0"/>
                  <w:i/>
                  <w:iCs/>
                  <w:color w:val="000000" w:themeColor="text1"/>
                  <w:highlight w:val="none"/>
                  <w:lang w:val="en-US" w:eastAsia="zh-CN"/>
                  <w14:textFill>
                    <w14:solidFill>
                      <w14:schemeClr w14:val="tx1"/>
                    </w14:solidFill>
                  </w14:textFill>
                </w:rPr>
              </m:ctrlPr>
            </m:sub>
            <m:sup>
              <m:r>
                <m:rPr/>
                <w:rPr>
                  <w:rFonts w:hint="default" w:ascii="Cambria Math" w:hAnsi="Cambria Math"/>
                  <w:color w:val="000000" w:themeColor="text1"/>
                  <w:highlight w:val="none"/>
                  <w:lang w:val="en-US" w:eastAsia="zh-CN"/>
                  <w14:textFill>
                    <w14:solidFill>
                      <w14:schemeClr w14:val="tx1"/>
                    </w14:solidFill>
                  </w14:textFill>
                </w:rPr>
                <m:t>L</m:t>
              </m:r>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其他水电匹配</m:t>
                  </m:r>
                  <m:ctrlPr>
                    <w:rPr>
                      <w:rFonts w:ascii="Cambria Math" w:hAnsi="Cambria Math"/>
                      <w:b w:val="0"/>
                      <w:bCs w:val="0"/>
                      <w:i/>
                      <w:iCs/>
                      <w:color w:val="000000" w:themeColor="text1"/>
                      <w:highlight w:val="none"/>
                      <w:lang w:val="en-US" w:eastAsia="zh-CN"/>
                      <w14:textFill>
                        <w14:solidFill>
                          <w14:schemeClr w14:val="tx1"/>
                        </w14:solidFill>
                      </w14:textFill>
                    </w:rPr>
                  </m:ctrlPr>
                </m:sub>
              </m:sSub>
              <m:r>
                <m:rPr/>
                <w:rPr>
                  <w:rFonts w:ascii="Cambria Math" w:hAnsi="Cambria Math"/>
                  <w:color w:val="000000" w:themeColor="text1"/>
                  <w:highlight w:val="none"/>
                  <w:lang w:val="en-US" w:eastAsia="zh-CN"/>
                  <w14:textFill>
                    <w14:solidFill>
                      <w14:schemeClr w14:val="tx1"/>
                    </w14:solidFill>
                  </w14:textFill>
                </w:rPr>
                <m:t>≤</m:t>
              </m:r>
              <m:sSub>
                <m:sSubPr>
                  <m:ctrlPr>
                    <w:rPr>
                      <w:rFonts w:hint="eastAsia"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hint="eastAsia"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其他水电合同</m:t>
                  </m:r>
                  <m:ctrlPr>
                    <w:rPr>
                      <w:rFonts w:hint="eastAsia"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oMath>
      </m:oMathPara>
    </w:p>
    <w:p w14:paraId="4033DA8D">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default" w:hAnsi="Cambria Math"/>
          <w:i/>
          <w:color w:val="000000" w:themeColor="text1"/>
          <w:highlight w:val="none"/>
          <w:lang w:val="en-US" w:eastAsia="zh-CN"/>
          <w14:textFill>
            <w14:solidFill>
              <w14:schemeClr w14:val="tx1"/>
            </w14:solidFill>
          </w14:textFill>
        </w:rPr>
      </w:pPr>
      <m:oMathPara>
        <m:oMath>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m:t>
              </m:r>
              <m:r>
                <m:rPr/>
                <w:rPr>
                  <w:rFonts w:hint="default" w:ascii="Cambria Math" w:hAnsi="Cambria Math"/>
                  <w:color w:val="000000" w:themeColor="text1"/>
                  <w:highlight w:val="none"/>
                  <w:lang w:val="en-US" w:eastAsia="zh-CN"/>
                  <w14:textFill>
                    <w14:solidFill>
                      <w14:schemeClr w14:val="tx1"/>
                    </w14:solidFill>
                  </w14:textFill>
                </w:rPr>
                <m:t>1</m:t>
              </m:r>
              <m:ctrlPr>
                <w:rPr>
                  <w:rFonts w:ascii="Cambria Math" w:hAnsi="Cambria Math"/>
                  <w:b w:val="0"/>
                  <w:bCs w:val="0"/>
                  <w:i/>
                  <w:iCs/>
                  <w:color w:val="000000" w:themeColor="text1"/>
                  <w:highlight w:val="none"/>
                  <w:lang w:val="en-US" w:eastAsia="zh-CN"/>
                  <w14:textFill>
                    <w14:solidFill>
                      <w14:schemeClr w14:val="tx1"/>
                    </w14:solidFill>
                  </w14:textFill>
                </w:rPr>
              </m:ctrlPr>
            </m:sub>
            <m:sup>
              <m:r>
                <m:rPr/>
                <w:rPr>
                  <w:rFonts w:hint="default" w:ascii="Cambria Math" w:hAnsi="Cambria Math"/>
                  <w:color w:val="000000" w:themeColor="text1"/>
                  <w:highlight w:val="none"/>
                  <w:lang w:val="en-US" w:eastAsia="zh-CN"/>
                  <w14:textFill>
                    <w14:solidFill>
                      <w14:schemeClr w14:val="tx1"/>
                    </w14:solidFill>
                  </w14:textFill>
                </w:rPr>
                <m:t>L</m:t>
              </m:r>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风电匹配</m:t>
                  </m:r>
                  <m:ctrlPr>
                    <w:rPr>
                      <w:rFonts w:ascii="Cambria Math" w:hAnsi="Cambria Math"/>
                      <w:b w:val="0"/>
                      <w:bCs w:val="0"/>
                      <w:i/>
                      <w:iCs/>
                      <w:color w:val="000000" w:themeColor="text1"/>
                      <w:highlight w:val="none"/>
                      <w:lang w:val="en-US" w:eastAsia="zh-CN"/>
                      <w14:textFill>
                        <w14:solidFill>
                          <w14:schemeClr w14:val="tx1"/>
                        </w14:solidFill>
                      </w14:textFill>
                    </w:rPr>
                  </m:ctrlPr>
                </m:sub>
              </m:sSub>
              <m:r>
                <m:rPr/>
                <w:rPr>
                  <w:rFonts w:ascii="Cambria Math" w:hAnsi="Cambria Math"/>
                  <w:color w:val="000000" w:themeColor="text1"/>
                  <w:highlight w:val="none"/>
                  <w:lang w:val="en-US" w:eastAsia="zh-CN"/>
                  <w14:textFill>
                    <w14:solidFill>
                      <w14:schemeClr w14:val="tx1"/>
                    </w14:solidFill>
                  </w14:textFill>
                </w:rPr>
                <m:t>≤</m:t>
              </m:r>
              <m:sSub>
                <m:sSubPr>
                  <m:ctrlPr>
                    <w:rPr>
                      <w:rFonts w:hint="eastAsia"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hint="eastAsia"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风电合同</m:t>
                  </m:r>
                  <m:ctrlPr>
                    <w:rPr>
                      <w:rFonts w:hint="eastAsia"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oMath>
      </m:oMathPara>
    </w:p>
    <w:p w14:paraId="6BDC87EA">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default" w:hAnsi="Cambria Math"/>
          <w:i/>
          <w:color w:val="000000" w:themeColor="text1"/>
          <w:highlight w:val="none"/>
          <w:lang w:val="en-US" w:eastAsia="zh-CN"/>
          <w14:textFill>
            <w14:solidFill>
              <w14:schemeClr w14:val="tx1"/>
            </w14:solidFill>
          </w14:textFill>
        </w:rPr>
      </w:pPr>
      <m:oMathPara>
        <m:oMath>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m:t>
              </m:r>
              <m:r>
                <m:rPr/>
                <w:rPr>
                  <w:rFonts w:hint="default" w:ascii="Cambria Math" w:hAnsi="Cambria Math"/>
                  <w:color w:val="000000" w:themeColor="text1"/>
                  <w:highlight w:val="none"/>
                  <w:lang w:val="en-US" w:eastAsia="zh-CN"/>
                  <w14:textFill>
                    <w14:solidFill>
                      <w14:schemeClr w14:val="tx1"/>
                    </w14:solidFill>
                  </w14:textFill>
                </w:rPr>
                <m:t>1</m:t>
              </m:r>
              <m:ctrlPr>
                <w:rPr>
                  <w:rFonts w:ascii="Cambria Math" w:hAnsi="Cambria Math"/>
                  <w:b w:val="0"/>
                  <w:bCs w:val="0"/>
                  <w:i/>
                  <w:iCs/>
                  <w:color w:val="000000" w:themeColor="text1"/>
                  <w:highlight w:val="none"/>
                  <w:lang w:val="en-US" w:eastAsia="zh-CN"/>
                  <w14:textFill>
                    <w14:solidFill>
                      <w14:schemeClr w14:val="tx1"/>
                    </w14:solidFill>
                  </w14:textFill>
                </w:rPr>
              </m:ctrlPr>
            </m:sub>
            <m:sup>
              <m:r>
                <m:rPr/>
                <w:rPr>
                  <w:rFonts w:hint="default" w:ascii="Cambria Math" w:hAnsi="Cambria Math"/>
                  <w:color w:val="000000" w:themeColor="text1"/>
                  <w:highlight w:val="none"/>
                  <w:lang w:val="en-US" w:eastAsia="zh-CN"/>
                  <w14:textFill>
                    <w14:solidFill>
                      <w14:schemeClr w14:val="tx1"/>
                    </w14:solidFill>
                  </w14:textFill>
                </w:rPr>
                <m:t>L</m:t>
              </m:r>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光伏匹配</m:t>
                  </m:r>
                  <m:ctrlPr>
                    <w:rPr>
                      <w:rFonts w:ascii="Cambria Math" w:hAnsi="Cambria Math"/>
                      <w:b w:val="0"/>
                      <w:bCs w:val="0"/>
                      <w:i/>
                      <w:iCs/>
                      <w:color w:val="000000" w:themeColor="text1"/>
                      <w:highlight w:val="none"/>
                      <w:lang w:val="en-US" w:eastAsia="zh-CN"/>
                      <w14:textFill>
                        <w14:solidFill>
                          <w14:schemeClr w14:val="tx1"/>
                        </w14:solidFill>
                      </w14:textFill>
                    </w:rPr>
                  </m:ctrlPr>
                </m:sub>
              </m:sSub>
              <m:r>
                <m:rPr/>
                <w:rPr>
                  <w:rFonts w:ascii="Cambria Math" w:hAnsi="Cambria Math"/>
                  <w:color w:val="000000" w:themeColor="text1"/>
                  <w:highlight w:val="none"/>
                  <w:lang w:val="en-US" w:eastAsia="zh-CN"/>
                  <w14:textFill>
                    <w14:solidFill>
                      <w14:schemeClr w14:val="tx1"/>
                    </w14:solidFill>
                  </w14:textFill>
                </w:rPr>
                <m:t>≤</m:t>
              </m:r>
              <m:sSub>
                <m:sSubPr>
                  <m:ctrlPr>
                    <w:rPr>
                      <w:rFonts w:hint="eastAsia"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hint="eastAsia"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光伏合同</m:t>
                  </m:r>
                  <m:ctrlPr>
                    <w:rPr>
                      <w:rFonts w:hint="eastAsia"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oMath>
      </m:oMathPara>
    </w:p>
    <w:p w14:paraId="1B6BA40B">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ascii="Times New Roman" w:hAnsi="Times New Roman"/>
          <w:b w:val="0"/>
          <w:bCs w:val="0"/>
          <w:i/>
          <w:iCs/>
          <w:color w:val="000000" w:themeColor="text1"/>
          <w:highlight w:val="none"/>
          <w:lang w:val="en-US"/>
          <w14:textFill>
            <w14:solidFill>
              <w14:schemeClr w14:val="tx1"/>
            </w14:solidFill>
          </w14:textFill>
        </w:rPr>
      </w:pPr>
      <m:oMathPara>
        <m:oMath>
          <m:r>
            <m:rPr/>
            <w:rPr>
              <w:rFonts w:hint="default" w:ascii="Cambria Math" w:hAnsi="Cambria Math"/>
              <w:color w:val="000000" w:themeColor="text1"/>
              <w:highlight w:val="none"/>
              <w:lang w:val="en-US" w:eastAsia="zh-CN"/>
              <w14:textFill>
                <w14:solidFill>
                  <w14:schemeClr w14:val="tx1"/>
                </w14:solidFill>
              </w14:textFill>
            </w:rPr>
            <m:t>0</m:t>
          </m:r>
          <m:r>
            <m:rPr/>
            <w:rPr>
              <w:rFonts w:ascii="Cambria Math" w:hAnsi="Cambria Math"/>
              <w:color w:val="000000" w:themeColor="text1"/>
              <w:highlight w:val="none"/>
              <w:lang w:val="en-US"/>
              <w14:textFill>
                <w14:solidFill>
                  <w14:schemeClr w14:val="tx1"/>
                </w14:solidFill>
              </w14:textFill>
            </w:rPr>
            <m:t>≤</m:t>
          </m:r>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i=1</m:t>
              </m:r>
              <m:ctrlPr>
                <w:rPr>
                  <w:rFonts w:ascii="Cambria Math" w:hAnsi="Cambria Math"/>
                  <w:b w:val="0"/>
                  <w:bCs w:val="0"/>
                  <w:i/>
                  <w:iCs/>
                  <w:color w:val="000000" w:themeColor="text1"/>
                  <w:highlight w:val="none"/>
                  <w:lang w:val="en-US" w:eastAsia="zh-CN"/>
                  <w14:textFill>
                    <w14:solidFill>
                      <w14:schemeClr w14:val="tx1"/>
                    </w14:solidFill>
                  </w14:textFill>
                </w:rPr>
              </m:ctrlPr>
            </m:sub>
            <m:sup>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N</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其他水电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k,i</m:t>
                  </m:r>
                  <m:r>
                    <m:rPr/>
                    <w:rPr>
                      <w:rFonts w:hint="eastAsia" w:ascii="Cambria Math" w:hAnsi="Cambria Math"/>
                      <w:color w:val="000000" w:themeColor="text1"/>
                      <w:highlight w:val="none"/>
                      <w:lang w:val="en-US" w:eastAsia="zh-CN"/>
                      <w14:textFill>
                        <w14:solidFill>
                          <w14:schemeClr w14:val="tx1"/>
                        </w14:solidFill>
                      </w14:textFill>
                    </w:rPr>
                    <m:t>其他水电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r>
            <m:rPr/>
            <w:rPr>
              <w:rFonts w:ascii="Cambria Math" w:hAnsi="Cambria Math"/>
              <w:color w:val="000000" w:themeColor="text1"/>
              <w:highlight w:val="none"/>
              <w:lang w:val="en-US"/>
              <w14:textFill>
                <w14:solidFill>
                  <w14:schemeClr w14:val="tx1"/>
                </w14:solidFill>
              </w14:textFill>
            </w:rPr>
            <m:t>≤</m:t>
          </m:r>
          <m:sSub>
            <m:sSubPr>
              <m:ctrlPr>
                <w:rPr>
                  <w:rFonts w:ascii="Cambria Math" w:hAnsi="Cambria Math"/>
                  <w:b w:val="0"/>
                  <w:bCs w:val="0"/>
                  <w:i/>
                  <w:iCs/>
                  <w:color w:val="000000" w:themeColor="text1"/>
                  <w:highlight w:val="none"/>
                  <w:lang w:val="en-US"/>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Q</m:t>
              </m:r>
              <m:ctrlPr>
                <w:rPr>
                  <w:rFonts w:ascii="Cambria Math" w:hAnsi="Cambria Math"/>
                  <w:b w:val="0"/>
                  <w:bCs w:val="0"/>
                  <w:i/>
                  <w:iCs/>
                  <w:color w:val="000000" w:themeColor="text1"/>
                  <w:highlight w:val="none"/>
                  <w:lang w:val="en-US"/>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ctrlPr>
                <w:rPr>
                  <w:rFonts w:ascii="Cambria Math" w:hAnsi="Cambria Math"/>
                  <w:b w:val="0"/>
                  <w:bCs w:val="0"/>
                  <w:i/>
                  <w:iCs/>
                  <w:color w:val="000000" w:themeColor="text1"/>
                  <w:highlight w:val="none"/>
                  <w:lang w:val="en-US"/>
                  <w14:textFill>
                    <w14:solidFill>
                      <w14:schemeClr w14:val="tx1"/>
                    </w14:solidFill>
                  </w14:textFill>
                </w:rPr>
              </m:ctrlPr>
            </m:sub>
          </m:sSub>
          <m:r>
            <m:rPr/>
            <w:rPr>
              <w:rFonts w:ascii="Cambria Math" w:hAnsi="Cambria Math"/>
              <w:color w:val="000000" w:themeColor="text1"/>
              <w:highlight w:val="none"/>
              <w:lang w:val="en-US"/>
              <w14:textFill>
                <w14:solidFill>
                  <w14:schemeClr w14:val="tx1"/>
                </w14:solidFill>
              </w14:textFill>
            </w:rPr>
            <m:t>×</m:t>
          </m:r>
          <m:sSub>
            <m:sSubPr>
              <m:ctrlPr>
                <w:rPr>
                  <w:rFonts w:ascii="Cambria Math" w:hAnsi="Cambria Math"/>
                  <w:b w:val="0"/>
                  <w:bCs w:val="0"/>
                  <w:i/>
                  <w:iCs/>
                  <w:color w:val="000000" w:themeColor="text1"/>
                  <w:highlight w:val="none"/>
                  <w:lang w:val="en-US"/>
                  <w14:textFill>
                    <w14:solidFill>
                      <w14:schemeClr w14:val="tx1"/>
                    </w14:solidFill>
                  </w14:textFill>
                </w:rPr>
              </m:ctrlPr>
            </m:sSubPr>
            <m:e>
              <m:r>
                <m:rPr/>
                <w:rPr>
                  <w:rFonts w:hint="default" w:ascii="Cambria Math" w:hAnsi="Cambria Math"/>
                  <w:color w:val="000000" w:themeColor="text1"/>
                  <w:highlight w:val="none"/>
                  <w:lang w:val="en-US"/>
                  <w14:textFill>
                    <w14:solidFill>
                      <w14:schemeClr w14:val="tx1"/>
                    </w14:solidFill>
                  </w14:textFill>
                </w:rPr>
                <m:t>ε</m:t>
              </m:r>
              <m:ctrlPr>
                <w:rPr>
                  <w:rFonts w:ascii="Cambria Math" w:hAnsi="Cambria Math"/>
                  <w:b w:val="0"/>
                  <w:bCs w:val="0"/>
                  <w:i/>
                  <w:iCs/>
                  <w:color w:val="000000" w:themeColor="text1"/>
                  <w:highlight w:val="none"/>
                  <w:lang w:val="en-US"/>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其他水电</m:t>
              </m:r>
              <m:ctrlPr>
                <w:rPr>
                  <w:rFonts w:ascii="Cambria Math" w:hAnsi="Cambria Math"/>
                  <w:b w:val="0"/>
                  <w:bCs w:val="0"/>
                  <w:i/>
                  <w:iCs/>
                  <w:color w:val="000000" w:themeColor="text1"/>
                  <w:highlight w:val="none"/>
                  <w:lang w:val="en-US"/>
                  <w14:textFill>
                    <w14:solidFill>
                      <w14:schemeClr w14:val="tx1"/>
                    </w14:solidFill>
                  </w14:textFill>
                </w:rPr>
              </m:ctrlPr>
            </m:sub>
          </m:sSub>
        </m:oMath>
      </m:oMathPara>
    </w:p>
    <w:p w14:paraId="517B380F">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ascii="Times New Roman" w:hAnsi="Times New Roman"/>
          <w:b w:val="0"/>
          <w:bCs w:val="0"/>
          <w:i/>
          <w:iCs/>
          <w:color w:val="000000" w:themeColor="text1"/>
          <w:highlight w:val="none"/>
          <w:lang w:val="en-US"/>
          <w14:textFill>
            <w14:solidFill>
              <w14:schemeClr w14:val="tx1"/>
            </w14:solidFill>
          </w14:textFill>
        </w:rPr>
      </w:pPr>
      <m:oMathPara>
        <m:oMath>
          <m:r>
            <m:rPr/>
            <w:rPr>
              <w:rFonts w:hint="default" w:ascii="Cambria Math" w:hAnsi="Cambria Math"/>
              <w:color w:val="000000" w:themeColor="text1"/>
              <w:highlight w:val="none"/>
              <w:lang w:val="en-US" w:eastAsia="zh-CN"/>
              <w14:textFill>
                <w14:solidFill>
                  <w14:schemeClr w14:val="tx1"/>
                </w14:solidFill>
              </w14:textFill>
            </w:rPr>
            <m:t>0</m:t>
          </m:r>
          <m:r>
            <m:rPr/>
            <w:rPr>
              <w:rFonts w:ascii="Cambria Math" w:hAnsi="Cambria Math"/>
              <w:color w:val="000000" w:themeColor="text1"/>
              <w:highlight w:val="none"/>
              <w:lang w:val="en-US"/>
              <w14:textFill>
                <w14:solidFill>
                  <w14:schemeClr w14:val="tx1"/>
                </w14:solidFill>
              </w14:textFill>
            </w:rPr>
            <m:t>≤</m:t>
          </m:r>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i=1</m:t>
              </m:r>
              <m:ctrlPr>
                <w:rPr>
                  <w:rFonts w:ascii="Cambria Math" w:hAnsi="Cambria Math"/>
                  <w:b w:val="0"/>
                  <w:bCs w:val="0"/>
                  <w:i/>
                  <w:iCs/>
                  <w:color w:val="000000" w:themeColor="text1"/>
                  <w:highlight w:val="none"/>
                  <w:lang w:val="en-US" w:eastAsia="zh-CN"/>
                  <w14:textFill>
                    <w14:solidFill>
                      <w14:schemeClr w14:val="tx1"/>
                    </w14:solidFill>
                  </w14:textFill>
                </w:rPr>
              </m:ctrlPr>
            </m:sub>
            <m:sup>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N</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风电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k,i</m:t>
                  </m:r>
                  <m:r>
                    <m:rPr/>
                    <w:rPr>
                      <w:rFonts w:hint="eastAsia" w:ascii="Cambria Math" w:hAnsi="Cambria Math"/>
                      <w:color w:val="000000" w:themeColor="text1"/>
                      <w:highlight w:val="none"/>
                      <w:lang w:val="en-US" w:eastAsia="zh-CN"/>
                      <w14:textFill>
                        <w14:solidFill>
                          <w14:schemeClr w14:val="tx1"/>
                        </w14:solidFill>
                      </w14:textFill>
                    </w:rPr>
                    <m:t>风电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r>
            <m:rPr/>
            <w:rPr>
              <w:rFonts w:ascii="Cambria Math" w:hAnsi="Cambria Math"/>
              <w:color w:val="000000" w:themeColor="text1"/>
              <w:highlight w:val="none"/>
              <w:lang w:val="en-US" w:eastAsia="zh-CN"/>
              <w14:textFill>
                <w14:solidFill>
                  <w14:schemeClr w14:val="tx1"/>
                </w14:solidFill>
              </w14:textFill>
            </w:rPr>
            <m:t>≤</m:t>
          </m:r>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Q</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ctrlPr>
                <w:rPr>
                  <w:rFonts w:ascii="Cambria Math" w:hAnsi="Cambria Math"/>
                  <w:b w:val="0"/>
                  <w:bCs w:val="0"/>
                  <w:i/>
                  <w:iCs/>
                  <w:color w:val="000000" w:themeColor="text1"/>
                  <w:highlight w:val="none"/>
                  <w:lang w:val="en-US" w:eastAsia="zh-CN"/>
                  <w14:textFill>
                    <w14:solidFill>
                      <w14:schemeClr w14:val="tx1"/>
                    </w14:solidFill>
                  </w14:textFill>
                </w:rPr>
              </m:ctrlPr>
            </m:sub>
          </m:sSub>
          <m:r>
            <m:rPr/>
            <w:rPr>
              <w:rFonts w:ascii="Cambria Math" w:hAnsi="Cambria Math"/>
              <w:color w:val="000000" w:themeColor="text1"/>
              <w:highlight w:val="none"/>
              <w:lang w:val="en-US" w:eastAsia="zh-CN"/>
              <w14:textFill>
                <w14:solidFill>
                  <w14:schemeClr w14:val="tx1"/>
                </w14:solidFill>
              </w14:textFill>
            </w:rPr>
            <m:t>×</m:t>
          </m:r>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ε</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风电</m:t>
              </m:r>
              <m:ctrlPr>
                <w:rPr>
                  <w:rFonts w:ascii="Cambria Math" w:hAnsi="Cambria Math"/>
                  <w:b w:val="0"/>
                  <w:bCs w:val="0"/>
                  <w:i/>
                  <w:iCs/>
                  <w:color w:val="000000" w:themeColor="text1"/>
                  <w:highlight w:val="none"/>
                  <w:lang w:val="en-US" w:eastAsia="zh-CN"/>
                  <w14:textFill>
                    <w14:solidFill>
                      <w14:schemeClr w14:val="tx1"/>
                    </w14:solidFill>
                  </w14:textFill>
                </w:rPr>
              </m:ctrlPr>
            </m:sub>
          </m:sSub>
        </m:oMath>
      </m:oMathPara>
    </w:p>
    <w:p w14:paraId="39DB66FD">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Ansi="Cambria Math"/>
          <w:b w:val="0"/>
          <w:bCs w:val="0"/>
          <w:i w:val="0"/>
          <w:iCs/>
          <w:color w:val="000000" w:themeColor="text1"/>
          <w:highlight w:val="none"/>
          <w:lang w:val="en-US"/>
          <w14:textFill>
            <w14:solidFill>
              <w14:schemeClr w14:val="tx1"/>
            </w14:solidFill>
          </w14:textFill>
        </w:rPr>
      </w:pPr>
      <m:oMathPara>
        <m:oMath>
          <m:r>
            <m:rPr/>
            <w:rPr>
              <w:rFonts w:hint="default" w:ascii="Cambria Math" w:hAnsi="Cambria Math"/>
              <w:color w:val="000000" w:themeColor="text1"/>
              <w:highlight w:val="none"/>
              <w:lang w:val="en-US" w:eastAsia="zh-CN"/>
              <w14:textFill>
                <w14:solidFill>
                  <w14:schemeClr w14:val="tx1"/>
                </w14:solidFill>
              </w14:textFill>
            </w:rPr>
            <m:t>0</m:t>
          </m:r>
          <m:r>
            <m:rPr/>
            <w:rPr>
              <w:rFonts w:ascii="Cambria Math" w:hAnsi="Cambria Math"/>
              <w:color w:val="000000" w:themeColor="text1"/>
              <w:highlight w:val="none"/>
              <w:lang w:val="en-US"/>
              <w14:textFill>
                <w14:solidFill>
                  <w14:schemeClr w14:val="tx1"/>
                </w14:solidFill>
              </w14:textFill>
            </w:rPr>
            <m:t>≤</m:t>
          </m:r>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i=1</m:t>
              </m:r>
              <m:ctrlPr>
                <w:rPr>
                  <w:rFonts w:ascii="Cambria Math" w:hAnsi="Cambria Math"/>
                  <w:b w:val="0"/>
                  <w:bCs w:val="0"/>
                  <w:i/>
                  <w:iCs/>
                  <w:color w:val="000000" w:themeColor="text1"/>
                  <w:highlight w:val="none"/>
                  <w:lang w:val="en-US" w:eastAsia="zh-CN"/>
                  <w14:textFill>
                    <w14:solidFill>
                      <w14:schemeClr w14:val="tx1"/>
                    </w14:solidFill>
                  </w14:textFill>
                </w:rPr>
              </m:ctrlPr>
            </m:sub>
            <m:sup>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N</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光伏</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k,i</m:t>
                  </m:r>
                  <m:r>
                    <m:rPr/>
                    <w:rPr>
                      <w:rFonts w:hint="eastAsia" w:ascii="Cambria Math" w:hAnsi="Cambria Math"/>
                      <w:color w:val="000000" w:themeColor="text1"/>
                      <w:highlight w:val="none"/>
                      <w:lang w:val="en-US" w:eastAsia="zh-CN"/>
                      <w14:textFill>
                        <w14:solidFill>
                          <w14:schemeClr w14:val="tx1"/>
                        </w14:solidFill>
                      </w14:textFill>
                    </w:rPr>
                    <m:t>光伏</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r>
            <m:rPr/>
            <w:rPr>
              <w:rFonts w:ascii="Cambria Math" w:hAnsi="Cambria Math"/>
              <w:color w:val="000000" w:themeColor="text1"/>
              <w:highlight w:val="none"/>
              <w:lang w:val="en-US"/>
              <w14:textFill>
                <w14:solidFill>
                  <w14:schemeClr w14:val="tx1"/>
                </w14:solidFill>
              </w14:textFill>
            </w:rPr>
            <m:t>≤</m:t>
          </m:r>
          <m:sSub>
            <m:sSubPr>
              <m:ctrlPr>
                <w:rPr>
                  <w:rFonts w:ascii="Cambria Math" w:hAnsi="Cambria Math"/>
                  <w:b w:val="0"/>
                  <w:bCs w:val="0"/>
                  <w:i/>
                  <w:iCs/>
                  <w:color w:val="000000" w:themeColor="text1"/>
                  <w:highlight w:val="none"/>
                  <w:lang w:val="en-US"/>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Q</m:t>
              </m:r>
              <m:ctrlPr>
                <w:rPr>
                  <w:rFonts w:ascii="Cambria Math" w:hAnsi="Cambria Math"/>
                  <w:b w:val="0"/>
                  <w:bCs w:val="0"/>
                  <w:i/>
                  <w:iCs/>
                  <w:color w:val="000000" w:themeColor="text1"/>
                  <w:highlight w:val="none"/>
                  <w:lang w:val="en-US"/>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ctrlPr>
                <w:rPr>
                  <w:rFonts w:ascii="Cambria Math" w:hAnsi="Cambria Math"/>
                  <w:b w:val="0"/>
                  <w:bCs w:val="0"/>
                  <w:i/>
                  <w:iCs/>
                  <w:color w:val="000000" w:themeColor="text1"/>
                  <w:highlight w:val="none"/>
                  <w:lang w:val="en-US"/>
                  <w14:textFill>
                    <w14:solidFill>
                      <w14:schemeClr w14:val="tx1"/>
                    </w14:solidFill>
                  </w14:textFill>
                </w:rPr>
              </m:ctrlPr>
            </m:sub>
          </m:sSub>
          <m:r>
            <m:rPr/>
            <w:rPr>
              <w:rFonts w:ascii="Cambria Math" w:hAnsi="Cambria Math"/>
              <w:color w:val="000000" w:themeColor="text1"/>
              <w:highlight w:val="none"/>
              <w:lang w:val="en-US"/>
              <w14:textFill>
                <w14:solidFill>
                  <w14:schemeClr w14:val="tx1"/>
                </w14:solidFill>
              </w14:textFill>
            </w:rPr>
            <m:t>×</m:t>
          </m:r>
          <m:sSub>
            <m:sSubPr>
              <m:ctrlPr>
                <w:rPr>
                  <w:rFonts w:ascii="Cambria Math" w:hAnsi="Cambria Math"/>
                  <w:b w:val="0"/>
                  <w:bCs w:val="0"/>
                  <w:i/>
                  <w:iCs/>
                  <w:color w:val="000000" w:themeColor="text1"/>
                  <w:highlight w:val="none"/>
                  <w:lang w:val="en-US"/>
                  <w14:textFill>
                    <w14:solidFill>
                      <w14:schemeClr w14:val="tx1"/>
                    </w14:solidFill>
                  </w14:textFill>
                </w:rPr>
              </m:ctrlPr>
            </m:sSubPr>
            <m:e>
              <m:r>
                <m:rPr/>
                <w:rPr>
                  <w:rFonts w:hint="default" w:ascii="Cambria Math" w:hAnsi="Cambria Math"/>
                  <w:color w:val="000000" w:themeColor="text1"/>
                  <w:highlight w:val="none"/>
                  <w:lang w:val="en-US"/>
                  <w14:textFill>
                    <w14:solidFill>
                      <w14:schemeClr w14:val="tx1"/>
                    </w14:solidFill>
                  </w14:textFill>
                </w:rPr>
                <m:t>ε</m:t>
              </m:r>
              <m:ctrlPr>
                <w:rPr>
                  <w:rFonts w:ascii="Cambria Math" w:hAnsi="Cambria Math"/>
                  <w:b w:val="0"/>
                  <w:bCs w:val="0"/>
                  <w:i/>
                  <w:iCs/>
                  <w:color w:val="000000" w:themeColor="text1"/>
                  <w:highlight w:val="none"/>
                  <w:lang w:val="en-US"/>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光伏</m:t>
              </m:r>
              <m:ctrlPr>
                <w:rPr>
                  <w:rFonts w:ascii="Cambria Math" w:hAnsi="Cambria Math"/>
                  <w:b w:val="0"/>
                  <w:bCs w:val="0"/>
                  <w:i/>
                  <w:iCs/>
                  <w:color w:val="000000" w:themeColor="text1"/>
                  <w:highlight w:val="none"/>
                  <w:lang w:val="en-US"/>
                  <w14:textFill>
                    <w14:solidFill>
                      <w14:schemeClr w14:val="tx1"/>
                    </w14:solidFill>
                  </w14:textFill>
                </w:rPr>
              </m:ctrlPr>
            </m:sub>
          </m:sSub>
        </m:oMath>
      </m:oMathPara>
    </w:p>
    <w:p w14:paraId="7A11D440">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default" w:ascii="Times New Roman" w:hAnsi="Times New Roman"/>
          <w:b w:val="0"/>
          <w:bCs w:val="0"/>
          <w:color w:val="000000" w:themeColor="text1"/>
          <w:highlight w:val="none"/>
          <w:lang w:val="en-US" w:eastAsia="zh-CN"/>
          <w14:textFill>
            <w14:solidFill>
              <w14:schemeClr w14:val="tx1"/>
            </w14:solidFill>
          </w14:textFill>
        </w:rPr>
      </w:pPr>
      <m:oMathPara>
        <m:oMath>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i=1</m:t>
              </m:r>
              <m:ctrlPr>
                <w:rPr>
                  <w:rFonts w:ascii="Cambria Math" w:hAnsi="Cambria Math"/>
                  <w:b w:val="0"/>
                  <w:bCs w:val="0"/>
                  <w:i/>
                  <w:iCs/>
                  <w:color w:val="000000" w:themeColor="text1"/>
                  <w:highlight w:val="none"/>
                  <w:lang w:val="en-US" w:eastAsia="zh-CN"/>
                  <w14:textFill>
                    <w14:solidFill>
                      <w14:schemeClr w14:val="tx1"/>
                    </w14:solidFill>
                  </w14:textFill>
                </w:rPr>
              </m:ctrlPr>
            </m:sub>
            <m:sup>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N</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其他水电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k,i</m:t>
                  </m:r>
                  <m:r>
                    <m:rPr/>
                    <w:rPr>
                      <w:rFonts w:hint="eastAsia" w:ascii="Cambria Math" w:hAnsi="Cambria Math"/>
                      <w:color w:val="000000" w:themeColor="text1"/>
                      <w:highlight w:val="none"/>
                      <w:lang w:val="en-US" w:eastAsia="zh-CN"/>
                      <w14:textFill>
                        <w14:solidFill>
                          <w14:schemeClr w14:val="tx1"/>
                        </w14:solidFill>
                      </w14:textFill>
                    </w:rPr>
                    <m:t>其他水电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r>
            <m:rPr>
              <m:sty m:val="p"/>
            </m:rPr>
            <w:rPr>
              <w:rFonts w:hint="eastAsia" w:ascii="Cambria Math" w:hAnsi="Cambria Math"/>
              <w:color w:val="000000" w:themeColor="text1"/>
              <w:highlight w:val="none"/>
              <w:lang w:val="en-US" w:eastAsia="zh-CN"/>
              <w14:textFill>
                <w14:solidFill>
                  <w14:schemeClr w14:val="tx1"/>
                </w14:solidFill>
              </w14:textFill>
            </w:rPr>
            <m:t>+</m:t>
          </m:r>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i=1</m:t>
              </m:r>
              <m:ctrlPr>
                <w:rPr>
                  <w:rFonts w:ascii="Cambria Math" w:hAnsi="Cambria Math"/>
                  <w:b w:val="0"/>
                  <w:bCs w:val="0"/>
                  <w:i/>
                  <w:iCs/>
                  <w:color w:val="000000" w:themeColor="text1"/>
                  <w:highlight w:val="none"/>
                  <w:lang w:val="en-US" w:eastAsia="zh-CN"/>
                  <w14:textFill>
                    <w14:solidFill>
                      <w14:schemeClr w14:val="tx1"/>
                    </w14:solidFill>
                  </w14:textFill>
                </w:rPr>
              </m:ctrlPr>
            </m:sub>
            <m:sup>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N</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风电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k,i</m:t>
                  </m:r>
                  <m:r>
                    <m:rPr/>
                    <w:rPr>
                      <w:rFonts w:hint="eastAsia" w:ascii="Cambria Math" w:hAnsi="Cambria Math"/>
                      <w:color w:val="000000" w:themeColor="text1"/>
                      <w:highlight w:val="none"/>
                      <w:lang w:val="en-US" w:eastAsia="zh-CN"/>
                      <w14:textFill>
                        <w14:solidFill>
                          <w14:schemeClr w14:val="tx1"/>
                        </w14:solidFill>
                      </w14:textFill>
                    </w:rPr>
                    <m:t>风电</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r>
            <m:rPr>
              <m:sty m:val="p"/>
            </m:rPr>
            <w:rPr>
              <w:rFonts w:hint="eastAsia" w:ascii="Cambria Math" w:hAnsi="Cambria Math"/>
              <w:color w:val="000000" w:themeColor="text1"/>
              <w:highlight w:val="none"/>
              <w:lang w:val="en-US" w:eastAsia="zh-CN"/>
              <w14:textFill>
                <w14:solidFill>
                  <w14:schemeClr w14:val="tx1"/>
                </w14:solidFill>
              </w14:textFill>
            </w:rPr>
            <m:t>+</m:t>
          </m:r>
          <m:nary>
            <m:naryPr>
              <m:chr m:val="∑"/>
              <m:limLoc m:val="undOvr"/>
              <m:ctrlPr>
                <w:rPr>
                  <w:rFonts w:ascii="Cambria Math" w:hAnsi="Cambria Math"/>
                  <w:b w:val="0"/>
                  <w:bCs w:val="0"/>
                  <w:i/>
                  <w:iCs/>
                  <w:color w:val="000000" w:themeColor="text1"/>
                  <w:highlight w:val="none"/>
                  <w:lang w:val="en-US" w:eastAsia="zh-CN"/>
                  <w14:textFill>
                    <w14:solidFill>
                      <w14:schemeClr w14:val="tx1"/>
                    </w14:solidFill>
                  </w14:textFill>
                </w:rPr>
              </m:ctrlPr>
            </m:naryPr>
            <m:sub>
              <m:r>
                <m:rPr/>
                <w:rPr>
                  <w:rFonts w:hint="default" w:ascii="Cambria Math" w:hAnsi="Cambria Math"/>
                  <w:color w:val="000000" w:themeColor="text1"/>
                  <w:highlight w:val="none"/>
                  <w:lang w:val="en-US" w:eastAsia="zh-CN"/>
                  <w14:textFill>
                    <w14:solidFill>
                      <w14:schemeClr w14:val="tx1"/>
                    </w14:solidFill>
                  </w14:textFill>
                </w:rPr>
                <m:t>i=1</m:t>
              </m:r>
              <m:ctrlPr>
                <w:rPr>
                  <w:rFonts w:ascii="Cambria Math" w:hAnsi="Cambria Math"/>
                  <w:b w:val="0"/>
                  <w:bCs w:val="0"/>
                  <w:i/>
                  <w:iCs/>
                  <w:color w:val="000000" w:themeColor="text1"/>
                  <w:highlight w:val="none"/>
                  <w:lang w:val="en-US" w:eastAsia="zh-CN"/>
                  <w14:textFill>
                    <w14:solidFill>
                      <w14:schemeClr w14:val="tx1"/>
                    </w14:solidFill>
                  </w14:textFill>
                </w:rPr>
              </m:ctrlPr>
            </m:sub>
            <m:sup>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N</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color w:val="000000" w:themeColor="text1"/>
                      <w:highlight w:val="none"/>
                      <w:lang w:val="en-US" w:eastAsia="zh-CN"/>
                      <w14:textFill>
                        <w14:solidFill>
                          <w14:schemeClr w14:val="tx1"/>
                        </w14:solidFill>
                      </w14:textFill>
                    </w:rPr>
                    <m:t>光伏</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sup>
            <m:e>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g</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k,i</m:t>
                  </m:r>
                  <m:r>
                    <m:rPr/>
                    <w:rPr>
                      <w:rFonts w:hint="eastAsia" w:ascii="Cambria Math" w:hAnsi="Cambria Math"/>
                      <w:color w:val="000000" w:themeColor="text1"/>
                      <w:highlight w:val="none"/>
                      <w:lang w:val="en-US" w:eastAsia="zh-CN"/>
                      <w14:textFill>
                        <w14:solidFill>
                          <w14:schemeClr w14:val="tx1"/>
                        </w14:solidFill>
                      </w14:textFill>
                    </w:rPr>
                    <m:t>光伏</m:t>
                  </m:r>
                  <m:ctrlPr>
                    <w:rPr>
                      <w:rFonts w:ascii="Cambria Math" w:hAnsi="Cambria Math"/>
                      <w:b w:val="0"/>
                      <w:bCs w:val="0"/>
                      <w:i/>
                      <w:iCs/>
                      <w:color w:val="000000" w:themeColor="text1"/>
                      <w:highlight w:val="none"/>
                      <w:lang w:val="en-US" w:eastAsia="zh-CN"/>
                      <w14:textFill>
                        <w14:solidFill>
                          <w14:schemeClr w14:val="tx1"/>
                        </w14:solidFill>
                      </w14:textFill>
                    </w:rPr>
                  </m:ctrlPr>
                </m:sub>
              </m:sSub>
              <m:ctrlPr>
                <w:rPr>
                  <w:rFonts w:ascii="Cambria Math" w:hAnsi="Cambria Math"/>
                  <w:b w:val="0"/>
                  <w:bCs w:val="0"/>
                  <w:i/>
                  <w:iCs/>
                  <w:color w:val="000000" w:themeColor="text1"/>
                  <w:highlight w:val="none"/>
                  <w:lang w:val="en-US" w:eastAsia="zh-CN"/>
                  <w14:textFill>
                    <w14:solidFill>
                      <w14:schemeClr w14:val="tx1"/>
                    </w14:solidFill>
                  </w14:textFill>
                </w:rPr>
              </m:ctrlPr>
            </m:e>
          </m:nary>
          <m:r>
            <m:rPr>
              <m:sty m:val="p"/>
            </m:rPr>
            <w:rPr>
              <w:rFonts w:ascii="Cambria Math" w:hAnsi="Cambria Math"/>
              <w:color w:val="000000" w:themeColor="text1"/>
              <w:highlight w:val="none"/>
              <w:lang w:val="en-US" w:eastAsia="zh-CN"/>
              <w14:textFill>
                <w14:solidFill>
                  <w14:schemeClr w14:val="tx1"/>
                </w14:solidFill>
              </w14:textFill>
            </w:rPr>
            <m:t>≤</m:t>
          </m:r>
          <m:sSub>
            <m:sSubPr>
              <m:ctrlPr>
                <w:rPr>
                  <w:rFonts w:ascii="Cambria Math" w:hAnsi="Cambria Math"/>
                  <w:b w:val="0"/>
                  <w:bCs w:val="0"/>
                  <w:color w:val="000000" w:themeColor="text1"/>
                  <w:highlight w:val="none"/>
                  <w:lang w:val="en-US" w:eastAsia="zh-CN"/>
                  <w14:textFill>
                    <w14:solidFill>
                      <w14:schemeClr w14:val="tx1"/>
                    </w14:solidFill>
                  </w14:textFill>
                </w:rPr>
              </m:ctrlPr>
            </m:sSubPr>
            <m:e>
              <m:r>
                <m:rPr>
                  <m:sty m:val="p"/>
                </m:rPr>
                <w:rPr>
                  <w:rFonts w:hint="default" w:ascii="Cambria Math" w:hAnsi="Cambria Math"/>
                  <w:color w:val="000000" w:themeColor="text1"/>
                  <w:highlight w:val="none"/>
                  <w:lang w:val="en-US" w:eastAsia="zh-CN"/>
                  <w14:textFill>
                    <w14:solidFill>
                      <w14:schemeClr w14:val="tx1"/>
                    </w14:solidFill>
                  </w14:textFill>
                </w:rPr>
                <m:t>Q</m:t>
              </m:r>
              <m:ctrlPr>
                <w:rPr>
                  <w:rFonts w:ascii="Cambria Math" w:hAnsi="Cambria Math"/>
                  <w:b w:val="0"/>
                  <w:bCs w:val="0"/>
                  <w:color w:val="000000" w:themeColor="text1"/>
                  <w:highlight w:val="none"/>
                  <w:lang w:val="en-US" w:eastAsia="zh-CN"/>
                  <w14:textFill>
                    <w14:solidFill>
                      <w14:schemeClr w14:val="tx1"/>
                    </w14:solidFill>
                  </w14:textFill>
                </w:rPr>
              </m:ctrlPr>
            </m:e>
            <m:sub>
              <m:r>
                <m:rPr>
                  <m:sty m:val="p"/>
                </m:rPr>
                <w:rPr>
                  <w:rFonts w:hint="default" w:ascii="Cambria Math" w:hAnsi="Cambria Math"/>
                  <w:color w:val="000000" w:themeColor="text1"/>
                  <w:highlight w:val="none"/>
                  <w:lang w:val="en-US" w:eastAsia="zh-CN"/>
                  <w14:textFill>
                    <w14:solidFill>
                      <w14:schemeClr w14:val="tx1"/>
                    </w14:solidFill>
                  </w14:textFill>
                </w:rPr>
                <m:t>k</m:t>
              </m:r>
              <m:ctrlPr>
                <w:rPr>
                  <w:rFonts w:ascii="Cambria Math" w:hAnsi="Cambria Math"/>
                  <w:b w:val="0"/>
                  <w:bCs w:val="0"/>
                  <w:color w:val="000000" w:themeColor="text1"/>
                  <w:highlight w:val="none"/>
                  <w:lang w:val="en-US" w:eastAsia="zh-CN"/>
                  <w14:textFill>
                    <w14:solidFill>
                      <w14:schemeClr w14:val="tx1"/>
                    </w14:solidFill>
                  </w14:textFill>
                </w:rPr>
              </m:ctrlPr>
            </m:sub>
          </m:sSub>
        </m:oMath>
      </m:oMathPara>
    </w:p>
    <w:p w14:paraId="3AA36DB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0" w:firstLineChars="0"/>
        <w:textAlignment w:val="auto"/>
        <w:rPr>
          <w:rFonts w:hAnsi="Cambria Math"/>
          <w:b w:val="0"/>
          <w:bCs w:val="0"/>
          <w:i w:val="0"/>
          <w:iCs/>
          <w:color w:val="000000" w:themeColor="text1"/>
          <w:highlight w:val="none"/>
          <w:lang w:val="en-US" w:eastAsia="zh-CN"/>
          <w14:textFill>
            <w14:solidFill>
              <w14:schemeClr w14:val="tx1"/>
            </w14:solidFill>
          </w14:textFill>
        </w:rPr>
      </w:pPr>
      <m:oMathPara>
        <m:oMath>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p</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其他水电匹配</m:t>
              </m:r>
              <m:ctrlPr>
                <w:rPr>
                  <w:rFonts w:ascii="Cambria Math" w:hAnsi="Cambria Math"/>
                  <w:b w:val="0"/>
                  <w:bCs w:val="0"/>
                  <w:i/>
                  <w:iCs/>
                  <w:color w:val="000000" w:themeColor="text1"/>
                  <w:highlight w:val="none"/>
                  <w:lang w:val="en-US" w:eastAsia="zh-CN"/>
                  <w14:textFill>
                    <w14:solidFill>
                      <w14:schemeClr w14:val="tx1"/>
                    </w14:solidFill>
                  </w14:textFill>
                </w:rPr>
              </m:ctrlPr>
            </m:sub>
          </m:sSub>
          <m:r>
            <m:rPr/>
            <w:rPr>
              <w:rFonts w:ascii="Cambria Math" w:hAnsi="Cambria Math"/>
              <w:color w:val="000000" w:themeColor="text1"/>
              <w:highlight w:val="none"/>
              <w:lang w:val="en-US" w:eastAsia="zh-CN"/>
              <w14:textFill>
                <w14:solidFill>
                  <w14:schemeClr w14:val="tx1"/>
                </w14:solidFill>
              </w14:textFill>
            </w:rPr>
            <m:t>≤</m:t>
          </m:r>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p</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其他水电约定</m:t>
              </m:r>
              <m:ctrlPr>
                <w:rPr>
                  <w:rFonts w:ascii="Cambria Math" w:hAnsi="Cambria Math"/>
                  <w:b w:val="0"/>
                  <w:bCs w:val="0"/>
                  <w:i/>
                  <w:iCs/>
                  <w:color w:val="000000" w:themeColor="text1"/>
                  <w:highlight w:val="none"/>
                  <w:lang w:val="en-US" w:eastAsia="zh-CN"/>
                  <w14:textFill>
                    <w14:solidFill>
                      <w14:schemeClr w14:val="tx1"/>
                    </w14:solidFill>
                  </w14:textFill>
                </w:rPr>
              </m:ctrlPr>
            </m:sub>
          </m:sSub>
        </m:oMath>
      </m:oMathPara>
    </w:p>
    <w:p w14:paraId="0CCF84C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0" w:firstLineChars="0"/>
        <w:textAlignment w:val="auto"/>
        <w:rPr>
          <w:rFonts w:hAnsi="Cambria Math"/>
          <w:b w:val="0"/>
          <w:bCs w:val="0"/>
          <w:i w:val="0"/>
          <w:iCs/>
          <w:color w:val="000000" w:themeColor="text1"/>
          <w:highlight w:val="none"/>
          <w:lang w:val="en-US" w:eastAsia="zh-CN"/>
          <w14:textFill>
            <w14:solidFill>
              <w14:schemeClr w14:val="tx1"/>
            </w14:solidFill>
          </w14:textFill>
        </w:rPr>
      </w:pPr>
      <m:oMathPara>
        <m:oMath>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p</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风电匹配</m:t>
              </m:r>
              <m:ctrlPr>
                <w:rPr>
                  <w:rFonts w:ascii="Cambria Math" w:hAnsi="Cambria Math"/>
                  <w:b w:val="0"/>
                  <w:bCs w:val="0"/>
                  <w:i/>
                  <w:iCs/>
                  <w:color w:val="000000" w:themeColor="text1"/>
                  <w:highlight w:val="none"/>
                  <w:lang w:val="en-US" w:eastAsia="zh-CN"/>
                  <w14:textFill>
                    <w14:solidFill>
                      <w14:schemeClr w14:val="tx1"/>
                    </w14:solidFill>
                  </w14:textFill>
                </w:rPr>
              </m:ctrlPr>
            </m:sub>
          </m:sSub>
          <m:r>
            <m:rPr/>
            <w:rPr>
              <w:rFonts w:ascii="Cambria Math" w:hAnsi="Cambria Math"/>
              <w:color w:val="000000" w:themeColor="text1"/>
              <w:highlight w:val="none"/>
              <w:lang w:val="en-US" w:eastAsia="zh-CN"/>
              <w14:textFill>
                <w14:solidFill>
                  <w14:schemeClr w14:val="tx1"/>
                </w14:solidFill>
              </w14:textFill>
            </w:rPr>
            <m:t>≤</m:t>
          </m:r>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p</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风电约定</m:t>
              </m:r>
              <m:ctrlPr>
                <w:rPr>
                  <w:rFonts w:ascii="Cambria Math" w:hAnsi="Cambria Math"/>
                  <w:b w:val="0"/>
                  <w:bCs w:val="0"/>
                  <w:i/>
                  <w:iCs/>
                  <w:color w:val="000000" w:themeColor="text1"/>
                  <w:highlight w:val="none"/>
                  <w:lang w:val="en-US" w:eastAsia="zh-CN"/>
                  <w14:textFill>
                    <w14:solidFill>
                      <w14:schemeClr w14:val="tx1"/>
                    </w14:solidFill>
                  </w14:textFill>
                </w:rPr>
              </m:ctrlPr>
            </m:sub>
          </m:sSub>
        </m:oMath>
      </m:oMathPara>
    </w:p>
    <w:p w14:paraId="711845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Times New Roman" w:hAnsi="Times New Roman"/>
          <w:b w:val="0"/>
          <w:bCs w:val="0"/>
          <w:color w:val="000000" w:themeColor="text1"/>
          <w:highlight w:val="none"/>
          <w:lang w:val="en-US" w:eastAsia="zh-CN"/>
          <w14:textFill>
            <w14:solidFill>
              <w14:schemeClr w14:val="tx1"/>
            </w14:solidFill>
          </w14:textFill>
        </w:rPr>
      </w:pPr>
      <m:oMathPara>
        <m:oMath>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p</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光伏匹配</m:t>
              </m:r>
              <m:ctrlPr>
                <w:rPr>
                  <w:rFonts w:ascii="Cambria Math" w:hAnsi="Cambria Math"/>
                  <w:b w:val="0"/>
                  <w:bCs w:val="0"/>
                  <w:i/>
                  <w:iCs/>
                  <w:color w:val="000000" w:themeColor="text1"/>
                  <w:highlight w:val="none"/>
                  <w:lang w:val="en-US" w:eastAsia="zh-CN"/>
                  <w14:textFill>
                    <w14:solidFill>
                      <w14:schemeClr w14:val="tx1"/>
                    </w14:solidFill>
                  </w14:textFill>
                </w:rPr>
              </m:ctrlPr>
            </m:sub>
          </m:sSub>
          <m:r>
            <m:rPr/>
            <w:rPr>
              <w:rFonts w:ascii="Cambria Math" w:hAnsi="Cambria Math"/>
              <w:color w:val="000000" w:themeColor="text1"/>
              <w:highlight w:val="none"/>
              <w:lang w:val="en-US" w:eastAsia="zh-CN"/>
              <w14:textFill>
                <w14:solidFill>
                  <w14:schemeClr w14:val="tx1"/>
                </w14:solidFill>
              </w14:textFill>
            </w:rPr>
            <m:t>≤</m:t>
          </m:r>
          <m:sSub>
            <m:sSubPr>
              <m:ctrlPr>
                <w:rPr>
                  <w:rFonts w:ascii="Cambria Math" w:hAnsi="Cambria Math"/>
                  <w:b w:val="0"/>
                  <w:bCs w:val="0"/>
                  <w:i/>
                  <w:iCs/>
                  <w:color w:val="000000" w:themeColor="text1"/>
                  <w:highlight w:val="none"/>
                  <w:lang w:val="en-US" w:eastAsia="zh-CN"/>
                  <w14:textFill>
                    <w14:solidFill>
                      <w14:schemeClr w14:val="tx1"/>
                    </w14:solidFill>
                  </w14:textFill>
                </w:rPr>
              </m:ctrlPr>
            </m:sSubPr>
            <m:e>
              <m:r>
                <m:rPr/>
                <w:rPr>
                  <w:rFonts w:hint="default" w:ascii="Cambria Math" w:hAnsi="Cambria Math"/>
                  <w:color w:val="000000" w:themeColor="text1"/>
                  <w:highlight w:val="none"/>
                  <w:lang w:val="en-US" w:eastAsia="zh-CN"/>
                  <w14:textFill>
                    <w14:solidFill>
                      <w14:schemeClr w14:val="tx1"/>
                    </w14:solidFill>
                  </w14:textFill>
                </w:rPr>
                <m:t>p</m:t>
              </m:r>
              <m:ctrlPr>
                <w:rPr>
                  <w:rFonts w:ascii="Cambria Math" w:hAnsi="Cambria Math"/>
                  <w:b w:val="0"/>
                  <w:bCs w:val="0"/>
                  <w:i/>
                  <w:iCs/>
                  <w:color w:val="000000" w:themeColor="text1"/>
                  <w:highlight w:val="none"/>
                  <w:lang w:val="en-US" w:eastAsia="zh-CN"/>
                  <w14:textFill>
                    <w14:solidFill>
                      <w14:schemeClr w14:val="tx1"/>
                    </w14:solidFill>
                  </w14:textFill>
                </w:rPr>
              </m:ctrlPr>
            </m:e>
            <m:sub>
              <m:r>
                <m:rPr/>
                <w:rPr>
                  <w:rFonts w:hint="default" w:ascii="Cambria Math" w:hAnsi="Cambria Math"/>
                  <w:color w:val="000000" w:themeColor="text1"/>
                  <w:highlight w:val="none"/>
                  <w:lang w:val="en-US" w:eastAsia="zh-CN"/>
                  <w14:textFill>
                    <w14:solidFill>
                      <w14:schemeClr w14:val="tx1"/>
                    </w14:solidFill>
                  </w14:textFill>
                </w:rPr>
                <m:t>k</m:t>
              </m:r>
              <m:r>
                <m:rPr/>
                <w:rPr>
                  <w:rFonts w:hint="eastAsia" w:ascii="Cambria Math" w:hAnsi="Cambria Math"/>
                  <w:color w:val="000000" w:themeColor="text1"/>
                  <w:highlight w:val="none"/>
                  <w:lang w:val="en-US" w:eastAsia="zh-CN"/>
                  <w14:textFill>
                    <w14:solidFill>
                      <w14:schemeClr w14:val="tx1"/>
                    </w14:solidFill>
                  </w14:textFill>
                </w:rPr>
                <m:t>光伏约定</m:t>
              </m:r>
              <m:ctrlPr>
                <w:rPr>
                  <w:rFonts w:ascii="Cambria Math" w:hAnsi="Cambria Math"/>
                  <w:b w:val="0"/>
                  <w:bCs w:val="0"/>
                  <w:i/>
                  <w:iCs/>
                  <w:color w:val="000000" w:themeColor="text1"/>
                  <w:highlight w:val="none"/>
                  <w:lang w:val="en-US" w:eastAsia="zh-CN"/>
                  <w14:textFill>
                    <w14:solidFill>
                      <w14:schemeClr w14:val="tx1"/>
                    </w14:solidFill>
                  </w14:textFill>
                </w:rPr>
              </m:ctrlPr>
            </m:sub>
          </m:sSub>
        </m:oMath>
      </m:oMathPara>
    </w:p>
    <w:p w14:paraId="41323980">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式中，</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L</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为售电公司零售用户数量；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k其他水电匹配</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为售电公司匹配给零售用户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的其他水电绿色电力交易电量；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其他水电合同</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为售电公司在批发侧成交的其他水电绿色电力交易电量；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k风电匹配</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为售电公司匹配给零售用户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的风电绿色电力交易电量；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风电合同</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为售电公司在批发侧成交的风电绿色电力交易电量；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k光伏匹配</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为售电公司匹配给零售用户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的光伏绿色电力交易电量；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光伏合同</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为售电公司在批发侧成交的光伏绿色电力交易电量；</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N</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其他水电</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为售电公司向零售用户匹配的其他水电绿色电力交易合同数量；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k,i</m:t>
            </m:r>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其他水电</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为匹配给零售用户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的第</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i</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笔其他水电绿色电力交易电量；</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N</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风电</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为售电公司向零售用户匹配的风电绿色电力交易合同数量；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k,i</m:t>
            </m:r>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风电</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为匹配给零售用户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的第</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i</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笔风电绿色电力交易电量；</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N</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光伏</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为售电公司向零售用户匹配的光伏绿色电力交易合同数量；</w:t>
      </w:r>
      <m:oMath>
        <m:sSub>
          <m:sSubP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SubPr>
          <m:e>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g</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k,i</m:t>
            </m:r>
            <m:r>
              <m:rPr/>
              <w:rPr>
                <w:rFonts w:hint="eastAsia" w:ascii="Cambria Math" w:hAnsi="Cambria Math" w:eastAsia="仿宋_GB2312" w:cs="仿宋_GB2312"/>
                <w:color w:val="000000" w:themeColor="text1"/>
                <w:kern w:val="2"/>
                <w:sz w:val="32"/>
                <w:szCs w:val="24"/>
                <w:highlight w:val="none"/>
                <w:lang w:val="en-US" w:eastAsia="zh-CN" w:bidi="ar-SA"/>
                <w14:textFill>
                  <w14:solidFill>
                    <w14:schemeClr w14:val="tx1"/>
                  </w14:solidFill>
                </w14:textFill>
              </w:rPr>
              <m:t>光伏</m:t>
            </m:r>
            <m:ctrlPr>
              <w:rPr>
                <w:rFonts w:hint="eastAsia" w:ascii="Cambria Math" w:hAnsi="Cambria Math" w:eastAsia="仿宋_GB2312" w:cs="仿宋_GB2312"/>
                <w:b w:val="0"/>
                <w:bCs w:val="0"/>
                <w:i/>
                <w:color w:val="000000" w:themeColor="text1"/>
                <w:kern w:val="2"/>
                <w:sz w:val="32"/>
                <w:szCs w:val="24"/>
                <w:highlight w:val="none"/>
                <w:lang w:val="en-US" w:eastAsia="zh-CN" w:bidi="ar-SA"/>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为匹配给零售用户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的第</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i</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笔光伏绿色电力交易电量；</w:t>
      </w:r>
      <m:oMath>
        <m:sSub>
          <m:sSubP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SubPr>
          <m:e>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Q</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e>
          <m:sub>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k</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的实际用电量，</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在每月</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零售用户结算</w:t>
      </w:r>
      <w:r>
        <w:rPr>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前锁定，不随后续因零售用户抄表、计量差错等原因导致的电量差错引起的差错清算而调整</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m:oMath>
        <m:sSub>
          <m:sSubP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SubPr>
          <m:e>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ε</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e>
          <m:sub>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k其他水电</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与售电公司约定的其他水电绿色电力交易电量占其实际用电量的比例；</w:t>
      </w:r>
      <m:oMath>
        <m:sSub>
          <m:sSubP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SubPr>
          <m:e>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ε</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e>
          <m:sub>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k风电</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与售电公司约定的风电绿色电力交易电量占其实际用电量的比例；</w:t>
      </w:r>
      <m:oMath>
        <m:sSub>
          <m:sSubP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SubPr>
          <m:e>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ε</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e>
          <m:sub>
            <m:r>
              <m:rPr>
                <m:sty m:val="p"/>
              </m:rPr>
              <w:rPr>
                <w:rFonts w:hint="eastAsia" w:ascii="Cambria Math" w:hAnsi="Cambria Math" w:eastAsia="仿宋_GB2312" w:cs="仿宋_GB2312"/>
                <w:color w:val="000000" w:themeColor="text1"/>
                <w:highlight w:val="none"/>
                <w:lang w:val="en-US" w:eastAsia="zh-CN"/>
                <w14:textFill>
                  <w14:solidFill>
                    <w14:schemeClr w14:val="tx1"/>
                  </w14:solidFill>
                </w14:textFill>
              </w:rPr>
              <m:t>k光伏</m:t>
            </m:r>
            <m:ctrlPr>
              <w:rPr>
                <w:rFonts w:hint="eastAsia" w:ascii="Cambria Math" w:hAnsi="Cambria Math" w:eastAsia="仿宋_GB2312" w:cs="仿宋_GB2312"/>
                <w:b w:val="0"/>
                <w:bCs w:val="0"/>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与售电公司约定的光伏绿色电力交易电量占其实际用电量的比例。</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p</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k其他水电匹配</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i w:val="0"/>
          <w:iCs/>
          <w:color w:val="000000" w:themeColor="text1"/>
          <w:highlight w:val="none"/>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售电公司向零售用户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匹配的</w:t>
      </w:r>
      <m:oMath>
        <m:r>
          <m:rPr>
            <m:sty m:val="p"/>
          </m:rPr>
          <w:rPr>
            <w:rFonts w:hint="eastAsia" w:ascii="Cambria Math" w:hAnsi="Cambria Math" w:eastAsia="仿宋_GB2312" w:cs="仿宋_GB2312"/>
            <w:color w:val="000000" w:themeColor="text1"/>
            <w:szCs w:val="32"/>
            <w:highlight w:val="none"/>
            <w:lang w:val="en-US" w:eastAsia="zh-CN"/>
            <w14:textFill>
              <w14:solidFill>
                <w14:schemeClr w14:val="tx1"/>
              </w14:solidFill>
            </w14:textFill>
          </w:rPr>
          <m:t>其他水电</m:t>
        </m:r>
      </m:oMath>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绿证价格；</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p</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k其他水电约定</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i w:val="0"/>
          <w:iCs/>
          <w:color w:val="000000" w:themeColor="text1"/>
          <w:highlight w:val="none"/>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与售电公司</w:t>
      </w:r>
      <w:r>
        <w:rPr>
          <w:rFonts w:hint="eastAsia" w:ascii="仿宋_GB2312" w:hAnsi="仿宋_GB2312" w:eastAsia="仿宋_GB2312" w:cs="仿宋_GB2312"/>
          <w:b w:val="0"/>
          <w:bCs w:val="0"/>
          <w:color w:val="000000" w:themeColor="text1"/>
          <w:szCs w:val="32"/>
          <w:highlight w:val="none"/>
          <w:lang w:val="en-US" w:eastAsia="zh-CN"/>
          <w14:textFill>
            <w14:solidFill>
              <w14:schemeClr w14:val="tx1"/>
            </w14:solidFill>
          </w14:textFill>
        </w:rPr>
        <w:t>约定的</w:t>
      </w:r>
      <m:oMath>
        <m:r>
          <m:rPr>
            <m:sty m:val="p"/>
          </m:rPr>
          <w:rPr>
            <w:rFonts w:hint="eastAsia" w:ascii="Cambria Math" w:hAnsi="Cambria Math" w:eastAsia="仿宋_GB2312" w:cs="仿宋_GB2312"/>
            <w:color w:val="000000" w:themeColor="text1"/>
            <w:szCs w:val="32"/>
            <w:highlight w:val="none"/>
            <w:lang w:val="en-US" w:eastAsia="zh-CN"/>
            <w14:textFill>
              <w14:solidFill>
                <w14:schemeClr w14:val="tx1"/>
              </w14:solidFill>
            </w14:textFill>
          </w:rPr>
          <m:t>其他水电</m:t>
        </m:r>
      </m:oMath>
      <w:r>
        <w:rPr>
          <w:rFonts w:hint="eastAsia" w:ascii="仿宋_GB2312" w:hAnsi="仿宋_GB2312" w:eastAsia="仿宋_GB2312" w:cs="仿宋_GB2312"/>
          <w:b w:val="0"/>
          <w:bCs w:val="0"/>
          <w:color w:val="000000" w:themeColor="text1"/>
          <w:szCs w:val="32"/>
          <w:highlight w:val="none"/>
          <w:lang w:val="en-US" w:eastAsia="zh-CN"/>
          <w14:textFill>
            <w14:solidFill>
              <w14:schemeClr w14:val="tx1"/>
            </w14:solidFill>
          </w14:textFill>
        </w:rPr>
        <w:t>绿证</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价格</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p</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k风电匹配</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i w:val="0"/>
          <w:iCs/>
          <w:color w:val="000000" w:themeColor="text1"/>
          <w:highlight w:val="none"/>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售电公司向零售用户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匹配的风电绿证价格；</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p</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k风电约定</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i w:val="0"/>
          <w:iCs/>
          <w:color w:val="000000" w:themeColor="text1"/>
          <w:highlight w:val="none"/>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与售电公司约定的风电绿证价格</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p</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k光伏匹配</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i w:val="0"/>
          <w:iCs/>
          <w:color w:val="000000" w:themeColor="text1"/>
          <w:highlight w:val="none"/>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售电公司向零售用户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匹配的光伏绿证价格；</w:t>
      </w:r>
      <m:oMath>
        <m:sSub>
          <m:sSubP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SubPr>
          <m:e>
            <m:r>
              <m:rPr/>
              <w:rPr>
                <w:rFonts w:hint="eastAsia" w:ascii="Cambria Math" w:hAnsi="Cambria Math" w:eastAsia="仿宋_GB2312" w:cs="仿宋_GB2312"/>
                <w:color w:val="000000" w:themeColor="text1"/>
                <w:highlight w:val="none"/>
                <w:lang w:val="en-US" w:eastAsia="zh-CN"/>
                <w14:textFill>
                  <w14:solidFill>
                    <w14:schemeClr w14:val="tx1"/>
                  </w14:solidFill>
                </w14:textFill>
              </w:rPr>
              <m:t>p</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e>
          <m:sub>
            <m:r>
              <m:rPr/>
              <w:rPr>
                <w:rFonts w:hint="eastAsia" w:ascii="Cambria Math" w:hAnsi="Cambria Math" w:eastAsia="仿宋_GB2312" w:cs="仿宋_GB2312"/>
                <w:color w:val="000000" w:themeColor="text1"/>
                <w:highlight w:val="none"/>
                <w:lang w:val="en-US" w:eastAsia="zh-CN"/>
                <w14:textFill>
                  <w14:solidFill>
                    <w14:schemeClr w14:val="tx1"/>
                  </w14:solidFill>
                </w14:textFill>
              </w:rPr>
              <m:t>k光伏约定</m:t>
            </m:r>
            <m:ctrlPr>
              <w:rPr>
                <w:rFonts w:hint="eastAsia" w:ascii="Cambria Math" w:hAnsi="Cambria Math" w:eastAsia="仿宋_GB2312" w:cs="仿宋_GB2312"/>
                <w:b w:val="0"/>
                <w:bCs w:val="0"/>
                <w:i/>
                <w:iCs/>
                <w:color w:val="000000" w:themeColor="text1"/>
                <w:highlight w:val="none"/>
                <w:lang w:val="en-US" w:eastAsia="zh-CN"/>
                <w14:textFill>
                  <w14:solidFill>
                    <w14:schemeClr w14:val="tx1"/>
                  </w14:solidFill>
                </w14:textFill>
              </w:rPr>
            </m:ctrlPr>
          </m:sub>
        </m:sSub>
      </m:oMath>
      <w:r>
        <w:rPr>
          <w:rFonts w:hint="eastAsia" w:ascii="仿宋_GB2312" w:hAnsi="仿宋_GB2312" w:eastAsia="仿宋_GB2312" w:cs="仿宋_GB2312"/>
          <w:b w:val="0"/>
          <w:bCs w:val="0"/>
          <w:i w:val="0"/>
          <w:iCs/>
          <w:color w:val="000000" w:themeColor="text1"/>
          <w:highlight w:val="none"/>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零售用户</w:t>
      </w:r>
      <w:r>
        <w:rPr>
          <w:rFonts w:hint="eastAsia" w:ascii="仿宋_GB2312" w:hAnsi="仿宋_GB2312" w:eastAsia="仿宋_GB2312" w:cs="仿宋_GB2312"/>
          <w:b w:val="0"/>
          <w:bCs w:val="0"/>
          <w:i/>
          <w:iCs/>
          <w:color w:val="000000" w:themeColor="text1"/>
          <w:highlight w:val="none"/>
          <w:lang w:val="en-US" w:eastAsia="zh-CN"/>
          <w14:textFill>
            <w14:solidFill>
              <w14:schemeClr w14:val="tx1"/>
            </w14:solidFill>
          </w14:textFill>
        </w:rPr>
        <w:t>k</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与售电公司约定的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光伏</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绿证价格。</w:t>
      </w:r>
    </w:p>
    <w:p w14:paraId="2257DE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i w:val="0"/>
          <w:i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若售电公司未按时匹配，则该售电公司的零售用户的其他水电、风电、光伏的绿色电力交易匹配电量均为0。</w:t>
      </w:r>
    </w:p>
    <w:p w14:paraId="32572B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1"/>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（二）绿证价格匹配</w:t>
      </w:r>
    </w:p>
    <w:p w14:paraId="4092D4A2">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绿色电力零售套餐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约定绿证价格为上限价格，最终</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匹配给用户的绿证价格以交易电量匹配中售电公司与对应发电企业交易合同的绿证价格为准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14:paraId="61D2B87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零售侧绿色电力交易匹配结果仅用于零售用户匹配电源属性判断以及</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绿证部分结算，零售用户电能量部分结算按照</w:t>
      </w:r>
      <w:r>
        <w:rPr>
          <w:rFonts w:hint="eastAsia" w:ascii="仿宋_GB2312" w:hAnsi="仿宋_GB2312" w:eastAsia="仿宋_GB2312" w:cs="仿宋_GB2312"/>
          <w:color w:val="000000" w:themeColor="text1"/>
          <w:szCs w:val="32"/>
          <w:highlight w:val="none"/>
          <w14:textFill>
            <w14:solidFill>
              <w14:schemeClr w14:val="tx1"/>
            </w14:solidFill>
          </w14:textFill>
        </w:rPr>
        <w:t>省内</w:t>
      </w: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相关电力</w:t>
      </w:r>
      <w:r>
        <w:rPr>
          <w:rFonts w:hint="eastAsia" w:ascii="仿宋_GB2312" w:hAnsi="仿宋_GB2312" w:eastAsia="仿宋_GB2312" w:cs="仿宋_GB2312"/>
          <w:color w:val="000000" w:themeColor="text1"/>
          <w:szCs w:val="32"/>
          <w:highlight w:val="none"/>
          <w14:textFill>
            <w14:solidFill>
              <w14:schemeClr w14:val="tx1"/>
            </w14:solidFill>
          </w14:textFill>
        </w:rPr>
        <w:t>市场</w:t>
      </w: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细则</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执行。</w:t>
      </w:r>
    </w:p>
    <w:p w14:paraId="7F8A9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第五章  交易执行</w:t>
      </w:r>
    </w:p>
    <w:p w14:paraId="44647B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云南省绿色电力交易合同通过电子合同的方式签订。电力交易机构通过电力交易平台出具的入市协议、交易公告、交易结果等视同为电子合同。</w:t>
      </w:r>
    </w:p>
    <w:p w14:paraId="7E0CA5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绿色电力交易是电力中长期交易的组成部分，在现货市场运行期间，绿色电力交易的电能量部分按照</w:t>
      </w:r>
      <w:r>
        <w:rPr>
          <w:rFonts w:hint="eastAsia" w:ascii="仿宋_GB2312" w:hAnsi="仿宋_GB2312" w:eastAsia="仿宋_GB2312" w:cs="仿宋_GB2312"/>
          <w:color w:val="000000" w:themeColor="text1"/>
          <w:highlight w:val="none"/>
          <w14:textFill>
            <w14:solidFill>
              <w14:schemeClr w14:val="tx1"/>
            </w14:solidFill>
          </w14:textFill>
        </w:rPr>
        <w:t>省内</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相关电力市场细则</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开展结算。</w:t>
      </w:r>
    </w:p>
    <w:p w14:paraId="74C3913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在保证电网安全运行的基础上，绿色电力交易优先安排，保证交易结果的优先执行。</w:t>
      </w:r>
    </w:p>
    <w:p w14:paraId="17D4FA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第六章  结算</w:t>
      </w:r>
    </w:p>
    <w:p w14:paraId="0E8D850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绿色电力交易结算按照“月结月清”的原则开展，绿色电力交易结算包含电能量部分结算和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绿证部分结算，两部分结算</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同步开展。电能量部分</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结算按照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省内相关电力市场细则执行，绿证部分结算按照本实施细则执行。</w:t>
      </w:r>
    </w:p>
    <w:p w14:paraId="524B858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色电力交易保持电网企业结算模式：根据电力交易机构出具的结算依据，电力用户向电网企业缴纳电能量部分结算费用和绿证部分结算费用；电网企业向发电企业支付相应费用；售电公司按照电力交易机构出具的结算依据与电网企业进行结算。电网企业承担电力用户欠费风险。</w:t>
      </w:r>
    </w:p>
    <w:p w14:paraId="4DDCFB2B">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1"/>
        <w:rPr>
          <w:rFonts w:hint="eastAsia" w:ascii="仿宋_GB2312" w:hAnsi="仿宋_GB2312" w:eastAsia="仿宋_GB2312" w:cs="仿宋_GB2312"/>
          <w:highlight w:val="none"/>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（一）绿证部分结算</w:t>
      </w:r>
    </w:p>
    <w:p w14:paraId="721FF677">
      <w:pPr>
        <w:pageBreakBefore w:val="0"/>
        <w:kinsoku/>
        <w:wordWrap/>
        <w:overflowPunct/>
        <w:topLinePunct w:val="0"/>
        <w:autoSpaceDE/>
        <w:autoSpaceDN/>
        <w:bidi w:val="0"/>
        <w:adjustRightInd/>
        <w:snapToGrid/>
        <w:spacing w:line="360" w:lineRule="auto"/>
        <w:ind w:leftChars="0" w:firstLine="616" w:firstLineChars="200"/>
        <w:textAlignment w:val="auto"/>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发电企业、批发用户、零售用户绿证部分结算费用</w:t>
      </w:r>
      <w:r>
        <w:rPr>
          <w:rFonts w:hint="eastAsia" w:ascii="仿宋_GB2312" w:hAnsi="仿宋_GB2312" w:eastAsia="仿宋_GB2312" w:cs="仿宋_GB2312"/>
          <w:b w:val="0"/>
          <w:bCs w:val="0"/>
          <w:color w:val="000000" w:themeColor="text1"/>
          <w:spacing w:val="-6"/>
          <w:position w:val="-14"/>
          <w:sz w:val="32"/>
          <w:szCs w:val="32"/>
          <w:highlight w:val="none"/>
          <w14:textFill>
            <w14:solidFill>
              <w14:schemeClr w14:val="tx1"/>
            </w14:solidFill>
          </w14:textFill>
        </w:rPr>
        <w:object>
          <v:shape id="_x0000_i1025" o:spt="75" type="#_x0000_t75" style="height:18.75pt;width:38.4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为：</w:t>
      </w:r>
    </w:p>
    <w:p w14:paraId="7C2679F3">
      <w:pPr>
        <w:pageBreakBefore w:val="0"/>
        <w:kinsoku/>
        <w:wordWrap/>
        <w:overflowPunct/>
        <w:topLinePunct w:val="0"/>
        <w:autoSpaceDE/>
        <w:autoSpaceDN/>
        <w:bidi w:val="0"/>
        <w:adjustRightInd/>
        <w:snapToGrid/>
        <w:spacing w:line="360" w:lineRule="auto"/>
        <w:ind w:leftChars="0"/>
        <w:jc w:val="center"/>
        <w:textAlignment w:val="auto"/>
        <w:rPr>
          <w:rFonts w:ascii="Times New Roman" w:hAnsi="Times New Roman" w:eastAsia="仿宋" w:cs="仿宋"/>
          <w:b w:val="0"/>
          <w:bCs w:val="0"/>
          <w:color w:val="000000" w:themeColor="text1"/>
          <w:sz w:val="32"/>
          <w:szCs w:val="32"/>
          <w:highlight w:val="none"/>
          <w14:textFill>
            <w14:solidFill>
              <w14:schemeClr w14:val="tx1"/>
            </w14:solidFill>
          </w14:textFill>
        </w:rPr>
      </w:pPr>
      <w:r>
        <w:rPr>
          <w:rFonts w:hint="eastAsia" w:ascii="Times New Roman" w:hAnsi="Times New Roman" w:eastAsia="仿宋" w:cs="仿宋"/>
          <w:b w:val="0"/>
          <w:bCs w:val="0"/>
          <w:color w:val="000000" w:themeColor="text1"/>
          <w:position w:val="-28"/>
          <w:sz w:val="32"/>
          <w:szCs w:val="32"/>
          <w:highlight w:val="none"/>
          <w14:textFill>
            <w14:solidFill>
              <w14:schemeClr w14:val="tx1"/>
            </w14:solidFill>
          </w14:textFill>
        </w:rPr>
        <w:object>
          <v:shape id="_x0000_i1026" o:spt="75" type="#_x0000_t75" style="height:33.75pt;width:150.95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p>
    <w:p w14:paraId="448E8E0F">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其中，</w:t>
      </w:r>
      <w:r>
        <w:rPr>
          <w:rFonts w:hint="eastAsia" w:ascii="仿宋_GB2312" w:hAnsi="仿宋_GB2312" w:eastAsia="仿宋_GB2312" w:cs="仿宋_GB2312"/>
          <w:b w:val="0"/>
          <w:bCs w:val="0"/>
          <w:color w:val="000000" w:themeColor="text1"/>
          <w:position w:val="-14"/>
          <w:sz w:val="32"/>
          <w:szCs w:val="32"/>
          <w:highlight w:val="none"/>
          <w14:textFill>
            <w14:solidFill>
              <w14:schemeClr w14:val="tx1"/>
            </w14:solidFill>
          </w14:textFill>
        </w:rPr>
        <w:object>
          <v:shape id="_x0000_i1027" o:spt="75" type="#_x0000_t75" style="height:18.75pt;width:41.3pt;" o:ole="t" filled="f" o:preferrelative="t" stroked="f" coordsize="21600,21600">
            <v:path/>
            <v:fill on="f" focussize="0,0"/>
            <v:stroke on="f"/>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市场主体当月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第i笔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绿色电力交易</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约定的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绿证价格，</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批发用户为其自行参与的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绿色电力交易的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绿证价格</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，零售用户为售电公司</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向其匹配的</w:t>
      </w:r>
      <w:r>
        <w:rPr>
          <w:rFonts w:hint="eastAsia" w:ascii="仿宋_GB2312" w:hAnsi="仿宋_GB2312" w:eastAsia="仿宋_GB2312" w:cs="仿宋_GB2312"/>
          <w:color w:val="000000" w:themeColor="text1"/>
          <w:szCs w:val="32"/>
          <w:highlight w:val="none"/>
          <w14:textFill>
            <w14:solidFill>
              <w14:schemeClr w14:val="tx1"/>
            </w14:solidFill>
          </w14:textFill>
        </w:rPr>
        <w:t>批发侧绿色电力交易</w:t>
      </w: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的绿证价格</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position w:val="-14"/>
          <w:sz w:val="32"/>
          <w:szCs w:val="32"/>
          <w:highlight w:val="none"/>
          <w14:textFill>
            <w14:solidFill>
              <w14:schemeClr w14:val="tx1"/>
            </w14:solidFill>
          </w14:textFill>
        </w:rPr>
        <w:object>
          <v:shape id="_x0000_i1028" o:spt="75" type="#_x0000_t75" style="height:18.75pt;width:41.3pt;" o:ole="t" filled="f" o:preferrelative="t" stroked="f" coordsize="21600,21600">
            <v:path/>
            <v:fill on="f" focussize="0,0"/>
            <v:stroke on="f"/>
            <v:imagedata r:id="rId10" o:title=""/>
            <o:lock v:ext="edit" aspectratio="t"/>
            <w10:wrap type="none"/>
            <w10:anchorlock/>
          </v:shape>
          <o:OLEObject Type="Embed" ProgID="Equation.3" ShapeID="_x0000_i1028" DrawAspect="Content" ObjectID="_1468075728" r:id="rId11">
            <o:LockedField>false</o:LockedField>
          </o:OLEObject>
        </w:objec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含月度绿色电力交易和日前绿色电力交易</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；M为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市场主体当月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参与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绿色电力交易</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的笔数；</w:t>
      </w:r>
      <w:r>
        <w:rPr>
          <w:rFonts w:hint="eastAsia" w:ascii="仿宋_GB2312" w:hAnsi="仿宋_GB2312" w:eastAsia="仿宋_GB2312" w:cs="仿宋_GB2312"/>
          <w:b w:val="0"/>
          <w:bCs w:val="0"/>
          <w:color w:val="000000" w:themeColor="text1"/>
          <w:position w:val="-14"/>
          <w:sz w:val="32"/>
          <w:szCs w:val="32"/>
          <w:highlight w:val="none"/>
          <w14:textFill>
            <w14:solidFill>
              <w14:schemeClr w14:val="tx1"/>
            </w14:solidFill>
          </w14:textFill>
        </w:rPr>
        <w:object>
          <v:shape id="_x0000_i1029" o:spt="75" type="#_x0000_t75" style="height:18.75pt;width:39.8pt;" o:ole="t" filled="f" o:preferrelative="t" stroked="f" coordsize="21600,21600">
            <v:path/>
            <v:fill on="f" focussize="0,0"/>
            <v:stroke on="f"/>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为第i笔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绿色电力交易</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绿证部分的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结算电量</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position w:val="-14"/>
          <w:sz w:val="32"/>
          <w:szCs w:val="32"/>
          <w:highlight w:val="none"/>
          <w14:textFill>
            <w14:solidFill>
              <w14:schemeClr w14:val="tx1"/>
            </w14:solidFill>
          </w14:textFill>
        </w:rPr>
        <w:object>
          <v:shape id="_x0000_i1030" o:spt="75" type="#_x0000_t75" style="height:18.75pt;width:39.8pt;" o:ole="t" filled="f" o:preferrelative="t" stroked="f" coordsize="21600,21600">
            <v:path/>
            <v:fill on="f" focussize="0,0"/>
            <v:stroke on="f"/>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按第i笔合同的电力用户的实际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匹配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用电量、发电企业的实际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匹配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上网电量以及双方之间的合同电量三者取小确定。计算方式为：</w:t>
      </w:r>
    </w:p>
    <w:p w14:paraId="15999673">
      <w:pPr>
        <w:pageBreakBefore w:val="0"/>
        <w:kinsoku/>
        <w:wordWrap/>
        <w:overflowPunct/>
        <w:topLinePunct w:val="0"/>
        <w:autoSpaceDE/>
        <w:autoSpaceDN/>
        <w:bidi w:val="0"/>
        <w:adjustRightInd/>
        <w:snapToGrid/>
        <w:spacing w:line="360" w:lineRule="auto"/>
        <w:ind w:leftChars="0" w:firstLine="560" w:firstLineChars="200"/>
        <w:jc w:val="center"/>
        <w:textAlignment w:val="auto"/>
        <w:rPr>
          <w:rFonts w:hint="eastAsia" w:ascii="Times New Roman" w:hAnsi="Times New Roman" w:eastAsia="仿宋" w:cs="仿宋"/>
          <w:b w:val="0"/>
          <w:bCs w:val="0"/>
          <w:color w:val="000000" w:themeColor="text1"/>
          <w:position w:val="-14"/>
          <w:sz w:val="28"/>
          <w:szCs w:val="44"/>
          <w:highlight w:val="none"/>
          <w:lang w:val="en-US" w:eastAsia="zh-CN"/>
          <w14:textFill>
            <w14:solidFill>
              <w14:schemeClr w14:val="tx1"/>
            </w14:solidFill>
          </w14:textFill>
        </w:rPr>
      </w:pPr>
      <w:r>
        <w:rPr>
          <w:rFonts w:hint="eastAsia" w:ascii="Times New Roman" w:hAnsi="Times New Roman" w:eastAsia="仿宋" w:cs="仿宋"/>
          <w:b w:val="0"/>
          <w:bCs w:val="0"/>
          <w:color w:val="000000" w:themeColor="text1"/>
          <w:position w:val="-14"/>
          <w:sz w:val="28"/>
          <w:szCs w:val="44"/>
          <w:highlight w:val="none"/>
          <w14:textFill>
            <w14:solidFill>
              <w14:schemeClr w14:val="tx1"/>
            </w14:solidFill>
          </w14:textFill>
        </w:rPr>
        <w:object>
          <v:shape id="_x0000_i1031" o:spt="75" type="#_x0000_t75" style="height:18.75pt;width:247.7pt;" o:ole="t" filled="f" o:preferrelative="t" stroked="f" coordsize="21600,21600">
            <v:path/>
            <v:fill on="f" focussize="0,0"/>
            <v:stroke on="f"/>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ascii="Times New Roman" w:hAnsi="Times New Roman" w:cs="仿宋"/>
          <w:b w:val="0"/>
          <w:bCs w:val="0"/>
          <w:color w:val="000000" w:themeColor="text1"/>
          <w:position w:val="-14"/>
          <w:sz w:val="28"/>
          <w:szCs w:val="44"/>
          <w:highlight w:val="none"/>
          <w:lang w:val="en-US" w:eastAsia="zh-CN"/>
          <w14:textFill>
            <w14:solidFill>
              <w14:schemeClr w14:val="tx1"/>
            </w14:solidFill>
          </w14:textFill>
        </w:rPr>
        <w:t xml:space="preserve"> </w:t>
      </w:r>
    </w:p>
    <w:p w14:paraId="0A1D6FA0">
      <w:pPr>
        <w:pageBreakBefore w:val="0"/>
        <w:kinsoku/>
        <w:wordWrap/>
        <w:overflowPunct/>
        <w:topLinePunct w:val="0"/>
        <w:autoSpaceDE/>
        <w:autoSpaceDN/>
        <w:bidi w:val="0"/>
        <w:adjustRightInd/>
        <w:snapToGrid/>
        <w:spacing w:line="360" w:lineRule="auto"/>
        <w:ind w:leftChars="0" w:firstLine="640" w:firstLineChars="200"/>
        <w:textAlignment w:val="auto"/>
        <w:rPr>
          <w:rFonts w:ascii="Times New Roman" w:hAnsi="Times New Roman" w:eastAsia="仿宋" w:cs="仿宋"/>
          <w:b w:val="0"/>
          <w:bC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其中，</w:t>
      </w:r>
      <w:r>
        <w:rPr>
          <w:rFonts w:hint="eastAsia" w:ascii="Times New Roman" w:hAnsi="Times New Roman" w:eastAsia="仿宋_GB2312" w:cs="仿宋_GB2312"/>
          <w:b w:val="0"/>
          <w:bCs w:val="0"/>
          <w:color w:val="000000" w:themeColor="text1"/>
          <w:position w:val="-14"/>
          <w:sz w:val="32"/>
          <w:szCs w:val="32"/>
          <w:highlight w:val="none"/>
          <w14:textFill>
            <w14:solidFill>
              <w14:schemeClr w14:val="tx1"/>
            </w14:solidFill>
          </w14:textFill>
        </w:rPr>
        <w:object>
          <v:shape id="_x0000_i1032" o:spt="75" type="#_x0000_t75" style="height:18.75pt;width:60.75pt;" o:ole="t" filled="f" o:preferrelative="t" stroked="f" coordsize="21600,21600">
            <v:path/>
            <v:fill on="f" focussize="0,0"/>
            <v:stroke on="f"/>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为第i笔</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绿色电力交易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对应的用户实际</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匹配</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用</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电量，按照该笔</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电量占该电力用户当月总</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绿色电力交易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电量比例</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乘以该用户总用电量确定</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以兆瓦时为单位取整数</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b w:val="0"/>
          <w:bCs w:val="0"/>
          <w:color w:val="000000" w:themeColor="text1"/>
          <w:position w:val="-14"/>
          <w:sz w:val="32"/>
          <w:szCs w:val="32"/>
          <w:highlight w:val="none"/>
          <w14:textFill>
            <w14:solidFill>
              <w14:schemeClr w14:val="tx1"/>
            </w14:solidFill>
          </w14:textFill>
        </w:rPr>
        <w:object>
          <v:shape id="_x0000_i1033" o:spt="75" type="#_x0000_t75" style="height:18.75pt;width:68.25pt;" o:ole="t" filled="f" o:preferrelative="t" stroked="f" coordsize="21600,21600">
            <v:path/>
            <v:fill on="f" focussize="0,0"/>
            <v:stroke on="f"/>
            <v:imagedata r:id="rId21" o:title=""/>
            <o:lock v:ext="edit" aspectratio="t"/>
            <w10:wrap type="none"/>
            <w10:anchorlock/>
          </v:shape>
          <o:OLEObject Type="Embed" ProgID="Equation.3" ShapeID="_x0000_i1033" DrawAspect="Content" ObjectID="_1468075733" r:id="rId20">
            <o:LockedField>false</o:LockedField>
          </o:OLEObject>
        </w:objec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为第i笔</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绿色电力交易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对应的发电企业实际</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匹配</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上网电量，按照该笔</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电量占该发电企业当月总</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绿色电力交易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电量比例乘以该发电企业总上网电量确定</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以兆瓦时为单位取整数</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b w:val="0"/>
          <w:bCs w:val="0"/>
          <w:color w:val="000000" w:themeColor="text1"/>
          <w:position w:val="-14"/>
          <w:sz w:val="32"/>
          <w:szCs w:val="32"/>
          <w:highlight w:val="none"/>
          <w14:textFill>
            <w14:solidFill>
              <w14:schemeClr w14:val="tx1"/>
            </w14:solidFill>
          </w14:textFill>
        </w:rPr>
        <w:object>
          <v:shape id="_x0000_i1034" o:spt="75" type="#_x0000_t75" style="height:18.75pt;width:39.75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2">
            <o:LockedField>false</o:LockedField>
          </o:OLEObject>
        </w:objec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为第i笔</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绿色电力交易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的</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电量，批发用户为其自行参与的</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绿色电力交易</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，零售用户为售电公司向其</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匹配</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的</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绿色电力交易，均以兆瓦时为单位取整数。跨省跨区绿色电力交易的绿证部分结算与省内绿色电力交易的绿证部分结算优先级相同，按照结算时跨省跨区、省内绿色电力交易电量各自占比计算应匹配的用电量或上网电量。</w:t>
      </w:r>
    </w:p>
    <w:p w14:paraId="01F55687">
      <w:pPr>
        <w:pageBreakBefore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其他要求</w:t>
      </w:r>
    </w:p>
    <w:p w14:paraId="71AB933D">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绿证</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部分</w:t>
      </w:r>
      <w:r>
        <w:rPr>
          <w:rFonts w:hint="eastAsia" w:ascii="仿宋_GB2312" w:hAnsi="仿宋_GB2312" w:eastAsia="仿宋_GB2312" w:cs="仿宋_GB2312"/>
          <w:b w:val="0"/>
          <w:bCs w:val="0"/>
          <w:color w:val="000000" w:themeColor="text1"/>
          <w:highlight w:val="none"/>
          <w14:textFill>
            <w14:solidFill>
              <w14:schemeClr w14:val="tx1"/>
            </w14:solidFill>
          </w14:textFill>
        </w:rPr>
        <w:t>结算以电力用户、发电企业每月冻结电量版本为准，不随后续发用电计量数据调整而调整。</w:t>
      </w:r>
      <w:r>
        <w:rPr>
          <w:rFonts w:hint="eastAsia" w:ascii="仿宋_GB2312" w:hAnsi="仿宋_GB2312" w:eastAsia="仿宋_GB2312" w:cs="仿宋_GB2312"/>
          <w:color w:val="000000" w:themeColor="text1"/>
          <w:highlight w:val="none"/>
          <w14:textFill>
            <w14:solidFill>
              <w14:schemeClr w14:val="tx1"/>
            </w14:solidFill>
          </w14:textFill>
        </w:rPr>
        <w:t>因计量差错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导致的绿证部分结算调整</w:t>
      </w:r>
      <w:r>
        <w:rPr>
          <w:rFonts w:hint="eastAsia" w:ascii="仿宋_GB2312" w:hAnsi="仿宋_GB2312" w:eastAsia="仿宋_GB2312" w:cs="仿宋_GB2312"/>
          <w:color w:val="000000" w:themeColor="text1"/>
          <w:highlight w:val="none"/>
          <w14:textFill>
            <w14:solidFill>
              <w14:schemeClr w14:val="tx1"/>
            </w14:solidFill>
          </w14:textFill>
        </w:rPr>
        <w:t>，根据国家有关规定另行明确。</w:t>
      </w:r>
    </w:p>
    <w:p w14:paraId="3BCD22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color w:val="000000" w:themeColor="text1"/>
          <w:kern w:val="2"/>
          <w:sz w:val="32"/>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24"/>
          <w:highlight w:val="none"/>
          <w:lang w:val="en-US" w:eastAsia="zh-CN" w:bidi="ar-SA"/>
          <w14:textFill>
            <w14:solidFill>
              <w14:schemeClr w14:val="tx1"/>
            </w14:solidFill>
          </w14:textFill>
        </w:rPr>
        <w:t>2.平价（低价）可再生能源项目参与绿色电力交易，绿证产生的附加收益归发电企业所有。享受补贴的可再生能源项目自主选择参与绿色电力交易时，高于项目所执行的煤电基准价的溢价收益，在国家可再生能源补贴发放时等额扣减。发电企业放弃补贴的，参与绿色电力交易的全部收益归发电企业所有。</w:t>
      </w:r>
    </w:p>
    <w:p w14:paraId="72427D81">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3.电力交易机构应向市场主体出具绿色电力交易结算依据，包含以下内容：</w:t>
      </w:r>
    </w:p>
    <w:p w14:paraId="4FFD124C">
      <w:pPr>
        <w:pageBreakBefore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（1）电能量部分结算电量、价格、结算费用；</w:t>
      </w:r>
    </w:p>
    <w:p w14:paraId="70813653">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（2）绿证部分结算电量、价格、结算费用；</w:t>
      </w:r>
    </w:p>
    <w:p w14:paraId="7A58EA16">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highlight w:val="none"/>
          <w:lang w:val="en-US" w:eastAsia="zh-CN"/>
        </w:rPr>
        <w:t>电能量部分偏差结算费用。</w:t>
      </w:r>
    </w:p>
    <w:p w14:paraId="3579408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结算流程</w:t>
      </w:r>
    </w:p>
    <w:p w14:paraId="603FC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（1）电能量部分结算：按照省内相关电力市场细则要求开展结算。</w:t>
      </w:r>
    </w:p>
    <w:p w14:paraId="2F00E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（2）绿证部分结算：</w:t>
      </w:r>
      <w:r>
        <w:rPr>
          <w:rFonts w:hint="eastAsia" w:ascii="仿宋_GB2312" w:hAnsi="仿宋_GB2312" w:eastAsia="仿宋_GB2312" w:cs="仿宋_GB2312"/>
          <w:color w:val="000000" w:themeColor="text1"/>
          <w:sz w:val="32"/>
          <w:szCs w:val="24"/>
          <w:highlight w:val="none"/>
          <w14:textFill>
            <w14:solidFill>
              <w14:schemeClr w14:val="tx1"/>
            </w14:solidFill>
          </w14:textFill>
        </w:rPr>
        <w:t>冻结电量日后3日</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，获取绿色电力交易信息（发电企业、批发用户、零售用户），合同双方发用电量信息，按照绿证部分结算规则核算，并推送至电网营销系统并入电费进行后续资金结算。</w:t>
      </w:r>
    </w:p>
    <w:p w14:paraId="703EC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（3）电厂侧发电项目绿色电力交易匹配</w:t>
      </w:r>
    </w:p>
    <w:p w14:paraId="74FCF978">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核发可交易绿证的可再生能源发电企业，</w:t>
      </w:r>
      <w:r>
        <w:rPr>
          <w:rFonts w:hint="eastAsia" w:ascii="仿宋_GB2312" w:hAnsi="仿宋_GB2312" w:eastAsia="仿宋_GB2312" w:cs="仿宋_GB2312"/>
          <w:color w:val="000000" w:themeColor="text1"/>
          <w:sz w:val="32"/>
          <w:szCs w:val="24"/>
          <w:highlight w:val="none"/>
          <w14:textFill>
            <w14:solidFill>
              <w14:schemeClr w14:val="tx1"/>
            </w14:solidFill>
          </w14:textFill>
        </w:rPr>
        <w:t>冻结电量5日</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色电力交易结算完毕后，发电企业需根据发电企业交易单元与发电项目的映射关系，结合各发电项目的实际上网电量情况，将同一交易单元结算的每笔绿色电力交易结算电量、电费匹配至各发电项目（发电企业、电力用户的结算对应关系应与交易对应关系保持一致），匹配电量不超过发电项目的上网电量。</w:t>
      </w:r>
    </w:p>
    <w:p w14:paraId="78C50331">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具备条件后，可由电网企业直接将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可再生能源发电企业</w:t>
      </w:r>
      <w:r>
        <w:rPr>
          <w:rFonts w:hint="eastAsia" w:ascii="仿宋_GB2312" w:hAnsi="仿宋_GB2312" w:eastAsia="仿宋_GB2312" w:cs="仿宋_GB2312"/>
          <w:color w:val="000000" w:themeColor="text1"/>
          <w:highlight w:val="none"/>
          <w14:textFill>
            <w14:solidFill>
              <w14:schemeClr w14:val="tx1"/>
            </w14:solidFill>
          </w14:textFill>
        </w:rPr>
        <w:t>营销档案与发电项目之间的映射关系</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各发电项目的上网电量数据</w:t>
      </w:r>
      <w:r>
        <w:rPr>
          <w:rFonts w:hint="eastAsia" w:ascii="仿宋_GB2312" w:hAnsi="仿宋_GB2312" w:eastAsia="仿宋_GB2312" w:cs="仿宋_GB2312"/>
          <w:color w:val="000000" w:themeColor="text1"/>
          <w:highlight w:val="none"/>
          <w14:textFill>
            <w14:solidFill>
              <w14:schemeClr w14:val="tx1"/>
            </w14:solidFill>
          </w14:textFill>
        </w:rPr>
        <w:t>提供给电力交易机构</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电力交易机构将</w:t>
      </w:r>
      <w:r>
        <w:rPr>
          <w:rFonts w:hint="eastAsia" w:ascii="仿宋_GB2312" w:hAnsi="仿宋_GB2312" w:eastAsia="仿宋_GB2312" w:cs="仿宋_GB2312"/>
          <w:color w:val="000000" w:themeColor="text1"/>
          <w:highlight w:val="none"/>
          <w14:textFill>
            <w14:solidFill>
              <w14:schemeClr w14:val="tx1"/>
            </w14:solidFill>
          </w14:textFill>
        </w:rPr>
        <w:t>同一交易单元结算的每笔绿色电力交易结算电量</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按照从大到小的顺序排序，交易单元映射各发电项目按照上网电量从大到小的顺序排序，按照排序依次匹配，直至排在最后的那笔</w:t>
      </w:r>
      <w:r>
        <w:rPr>
          <w:rFonts w:hint="eastAsia" w:ascii="仿宋_GB2312" w:hAnsi="仿宋_GB2312" w:eastAsia="仿宋_GB2312" w:cs="仿宋_GB2312"/>
          <w:color w:val="000000" w:themeColor="text1"/>
          <w:highlight w:val="none"/>
          <w14:textFill>
            <w14:solidFill>
              <w14:schemeClr w14:val="tx1"/>
            </w14:solidFill>
          </w14:textFill>
        </w:rPr>
        <w:t>绿色电力交易结算电量</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匹配完成，形成发电项目与电力用户的绿色电力交易结算结果。</w:t>
      </w:r>
    </w:p>
    <w:p w14:paraId="521A45AB">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发电企业对匹配的正确性负责，若因发电企业匹配等原因导致电力用户无法获得绿证，</w:t>
      </w:r>
      <w:r>
        <w:rPr>
          <w:rFonts w:hint="eastAsia" w:ascii="仿宋_GB2312" w:hAnsi="仿宋_GB2312" w:eastAsia="仿宋_GB2312" w:cs="仿宋_GB2312"/>
          <w:color w:val="000000" w:themeColor="text1"/>
          <w:highlight w:val="none"/>
          <w14:textFill>
            <w14:solidFill>
              <w14:schemeClr w14:val="tx1"/>
            </w14:solidFill>
          </w14:textFill>
        </w:rPr>
        <w:t>发电企业应将对应</w:t>
      </w:r>
      <w:r>
        <w:rPr>
          <w:rFonts w:hint="eastAsia" w:ascii="仿宋_GB2312" w:hAnsi="仿宋_GB2312" w:eastAsia="仿宋_GB2312" w:cs="仿宋_GB2312"/>
          <w:color w:val="000000" w:themeColor="text1"/>
          <w:highlight w:val="none"/>
          <w:lang w:eastAsia="zh-CN"/>
          <w14:textFill>
            <w14:solidFill>
              <w14:schemeClr w14:val="tx1"/>
            </w14:solidFill>
          </w14:textFill>
        </w:rPr>
        <w:t>绿证价格</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费用</w:t>
      </w:r>
      <w:r>
        <w:rPr>
          <w:rFonts w:hint="eastAsia" w:ascii="仿宋_GB2312" w:hAnsi="仿宋_GB2312" w:eastAsia="仿宋_GB2312" w:cs="仿宋_GB2312"/>
          <w:color w:val="000000" w:themeColor="text1"/>
          <w:highlight w:val="none"/>
          <w14:textFill>
            <w14:solidFill>
              <w14:schemeClr w14:val="tx1"/>
            </w14:solidFill>
          </w14:textFill>
        </w:rPr>
        <w:t>退还电力用户，并根据双方合同约定给予交易对手方相应补偿。</w:t>
      </w:r>
    </w:p>
    <w:p w14:paraId="0AB6032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绿证价格不参与输配电损耗计算，不执行峰谷分时电价政策。输配电价格、政府性基金及附加依据国家有关规定、相关市场规则执行。</w:t>
      </w:r>
    </w:p>
    <w:p w14:paraId="29FEFF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仿宋" w:cs="仿宋"/>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第七章 存量常规水电划转</w:t>
      </w:r>
    </w:p>
    <w:p w14:paraId="50BB8BD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依据</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《国家发展改革委</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财政部 </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国家能源局关于做好可再生能源绿色电力证书全覆盖工作 促进可再生能源电力消费的通知》（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发改能源</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1044</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号</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对存量常规水电，暂不核发可交易绿证，相应的绿证随电量直接无偿划转。从2023年1月的交易开始，通过电力交易溯源，明确</w:t>
      </w:r>
      <w:r>
        <w:rPr>
          <w:rFonts w:hint="eastAsia" w:ascii="Times New Roman" w:hAnsi="Times New Roman" w:eastAsia="仿宋_GB2312" w:cs="Times New Roman"/>
          <w:b w:val="0"/>
          <w:bCs w:val="0"/>
          <w:color w:val="000000" w:themeColor="text1"/>
          <w:szCs w:val="32"/>
          <w:highlight w:val="none"/>
          <w14:textFill>
            <w14:solidFill>
              <w14:schemeClr w14:val="tx1"/>
            </w14:solidFill>
          </w14:textFill>
        </w:rPr>
        <w:t>存量常规水电项目</w:t>
      </w:r>
      <w:r>
        <w:rPr>
          <w:rFonts w:hint="eastAsia" w:ascii="Times New Roman" w:hAnsi="Times New Roman" w:eastAsia="仿宋_GB2312" w:cs="Times New Roman"/>
          <w:b w:val="0"/>
          <w:bCs w:val="0"/>
          <w:color w:val="000000" w:themeColor="text1"/>
          <w:szCs w:val="32"/>
          <w:highlight w:val="none"/>
          <w:lang w:val="en-US" w:eastAsia="zh-CN"/>
          <w14:textFill>
            <w14:solidFill>
              <w14:schemeClr w14:val="tx1"/>
            </w14:solidFill>
          </w14:textFill>
        </w:rPr>
        <w:t>的</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电量流向</w:t>
      </w:r>
      <w:r>
        <w:rPr>
          <w:rFonts w:hint="eastAsia" w:ascii="Times New Roman" w:hAnsi="Times New Roman" w:eastAsia="仿宋_GB2312" w:cs="Times New Roman"/>
          <w:b w:val="0"/>
          <w:bCs w:val="0"/>
          <w:color w:val="000000" w:themeColor="text1"/>
          <w:szCs w:val="32"/>
          <w:highlight w:val="none"/>
          <w:lang w:val="en-US" w:eastAsia="zh-CN"/>
          <w14:textFill>
            <w14:solidFill>
              <w14:schemeClr w14:val="tx1"/>
            </w14:solidFill>
          </w14:textFill>
        </w:rPr>
        <w:t>，作为已建档立卡</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的存</w:t>
      </w:r>
      <w:r>
        <w:rPr>
          <w:rFonts w:hint="eastAsia" w:ascii="Times New Roman" w:hAnsi="Times New Roman" w:eastAsia="仿宋_GB2312" w:cs="Times New Roman"/>
          <w:b w:val="0"/>
          <w:bCs w:val="0"/>
          <w:color w:val="000000" w:themeColor="text1"/>
          <w:szCs w:val="32"/>
          <w:highlight w:val="none"/>
          <w:lang w:val="en-US" w:eastAsia="zh-CN"/>
          <w14:textFill>
            <w14:solidFill>
              <w14:schemeClr w14:val="tx1"/>
            </w14:solidFill>
          </w14:textFill>
        </w:rPr>
        <w:t>量常规水电</w:t>
      </w:r>
      <w:r>
        <w:rPr>
          <w:rFonts w:hint="eastAsia" w:ascii="Times New Roman" w:hAnsi="Times New Roman" w:eastAsia="仿宋_GB2312" w:cs="Times New Roman"/>
          <w:b w:val="0"/>
          <w:bCs w:val="0"/>
          <w:color w:val="000000" w:themeColor="text1"/>
          <w:szCs w:val="32"/>
          <w:highlight w:val="none"/>
          <w14:textFill>
            <w14:solidFill>
              <w14:schemeClr w14:val="tx1"/>
            </w14:solidFill>
          </w14:textFill>
        </w:rPr>
        <w:t>绿证划转</w:t>
      </w:r>
      <w:r>
        <w:rPr>
          <w:rFonts w:hint="eastAsia" w:ascii="Times New Roman" w:hAnsi="Times New Roman" w:eastAsia="仿宋_GB2312" w:cs="Times New Roman"/>
          <w:b w:val="0"/>
          <w:bCs w:val="0"/>
          <w:color w:val="000000" w:themeColor="text1"/>
          <w:szCs w:val="32"/>
          <w:highlight w:val="none"/>
          <w:lang w:val="en-US" w:eastAsia="zh-CN"/>
          <w14:textFill>
            <w14:solidFill>
              <w14:schemeClr w14:val="tx1"/>
            </w14:solidFill>
          </w14:textFill>
        </w:rPr>
        <w:t>的依据</w:t>
      </w:r>
      <w:r>
        <w:rPr>
          <w:rFonts w:hint="eastAsia" w:ascii="Times New Roman" w:hAnsi="Times New Roman" w:eastAsia="仿宋_GB2312" w:cs="Times New Roman"/>
          <w:b w:val="0"/>
          <w:bCs w:val="0"/>
          <w:color w:val="000000" w:themeColor="text1"/>
          <w:szCs w:val="32"/>
          <w:highlight w:val="none"/>
          <w14:textFill>
            <w14:solidFill>
              <w14:schemeClr w14:val="tx1"/>
            </w14:solidFill>
          </w14:textFill>
        </w:rPr>
        <w:t>。</w:t>
      </w:r>
    </w:p>
    <w:p w14:paraId="75873FD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kern w:val="2"/>
          <w:sz w:val="32"/>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电力交易溯源。原则上电力交易机构每年上半年</w:t>
      </w:r>
      <w:r>
        <w:rPr>
          <w:rFonts w:hint="eastAsia" w:ascii="仿宋_GB2312" w:hAnsi="仿宋_GB2312" w:eastAsia="仿宋_GB2312" w:cs="仿宋_GB2312"/>
          <w:b w:val="0"/>
          <w:bCs w:val="0"/>
          <w:color w:val="000000" w:themeColor="text1"/>
          <w:highlight w:val="none"/>
          <w14:textFill>
            <w14:solidFill>
              <w14:schemeClr w14:val="tx1"/>
            </w14:solidFill>
          </w14:textFill>
        </w:rPr>
        <w:t>基于</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上一年度</w:t>
      </w:r>
      <w:r>
        <w:rPr>
          <w:rFonts w:hint="eastAsia" w:ascii="仿宋_GB2312" w:hAnsi="仿宋_GB2312" w:eastAsia="仿宋_GB2312" w:cs="仿宋_GB2312"/>
          <w:b w:val="0"/>
          <w:bCs w:val="0"/>
          <w:color w:val="000000" w:themeColor="text1"/>
          <w:highlight w:val="none"/>
          <w14:textFill>
            <w14:solidFill>
              <w14:schemeClr w14:val="tx1"/>
            </w14:solidFill>
          </w14:textFill>
        </w:rPr>
        <w:t>的</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电力</w:t>
      </w:r>
      <w:r>
        <w:rPr>
          <w:rFonts w:hint="eastAsia" w:ascii="仿宋_GB2312" w:hAnsi="仿宋_GB2312" w:eastAsia="仿宋_GB2312" w:cs="仿宋_GB2312"/>
          <w:b w:val="0"/>
          <w:bCs w:val="0"/>
          <w:color w:val="000000" w:themeColor="text1"/>
          <w:highlight w:val="none"/>
          <w14:textFill>
            <w14:solidFill>
              <w14:schemeClr w14:val="tx1"/>
            </w14:solidFill>
          </w14:textFill>
        </w:rPr>
        <w:t>交易合同</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结算依据等</w:t>
      </w:r>
      <w:r>
        <w:rPr>
          <w:rFonts w:hint="eastAsia" w:ascii="仿宋_GB2312" w:hAnsi="仿宋_GB2312" w:eastAsia="仿宋_GB2312" w:cs="仿宋_GB2312"/>
          <w:b w:val="0"/>
          <w:bCs w:val="0"/>
          <w:color w:val="000000" w:themeColor="text1"/>
          <w:highlight w:val="none"/>
          <w14:textFill>
            <w14:solidFill>
              <w14:schemeClr w14:val="tx1"/>
            </w14:solidFill>
          </w14:textFill>
        </w:rPr>
        <w:t>，对各类型发电、各类型用电进行全量溯源。</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本细则印发前历史年度的电力交易溯源按需开展。</w:t>
      </w:r>
      <w:r>
        <w:rPr>
          <w:rFonts w:hint="eastAsia" w:ascii="仿宋_GB2312" w:hAnsi="仿宋_GB2312" w:eastAsia="仿宋_GB2312" w:cs="仿宋_GB2312"/>
          <w:b w:val="0"/>
          <w:bCs w:val="0"/>
          <w:color w:val="000000" w:themeColor="text1"/>
          <w:highlight w:val="none"/>
          <w14:textFill>
            <w14:solidFill>
              <w14:schemeClr w14:val="tx1"/>
            </w14:solidFill>
          </w14:textFill>
        </w:rPr>
        <w:t>现阶段，以月度为周期开展溯源</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14:textFill>
            <w14:solidFill>
              <w14:schemeClr w14:val="tx1"/>
            </w14:solidFill>
          </w14:textFill>
        </w:rPr>
        <w:t>条件成熟后进一步探索将溯源周期调整为</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小时。电力交易溯源分为批发市场溯源和零售市场溯源。</w:t>
      </w:r>
    </w:p>
    <w:p w14:paraId="508633B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批发市场溯源</w:t>
      </w:r>
    </w:p>
    <w:p w14:paraId="3B1197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（一）合同溯源</w:t>
      </w:r>
    </w:p>
    <w:p w14:paraId="4586B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合同溯源类型。在发电侧，将优先发电整体作为一个单位进行溯源，其他发电上网电量以电厂为单位进行溯源。在用电侧，以跨省跨区受端省份为单位进行溯源，优先用电和代购电整体作为一个单位进行溯源，省内市场化部分以批发交易用户为单位进行溯源。用于溯源的交易合同具体分为以下几种类型：</w:t>
      </w:r>
    </w:p>
    <w:p w14:paraId="00F141C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市场化电厂与批发交易用户的各类批发交易合同。根据交易出清规则能够确定购售双方匹配关系的，按照出清结果形成购售双方的对应关系以及对应匹配电量明确的合同，支撑后续溯源。交易出清规则不能确定购售双方匹配关系的，首先计算售方出清的电源成分（存量常规水电、其他水电、风电、光伏、煤电）及占比。购方出清电量与各类电源成分占比相乘得到购方应匹配的存量常规水电电量、其他水电电量、风电电量、光伏电量、煤电电量。按照存量常规水电、其他水电、风电、光伏、煤电五种类型，分别在售方、购方按电量从大到小的顺序排序，以匹配购方电量为目标，按照排序依次匹配，直至排在最后一位的购方匹配完成，形成购售双方的对应关系以及对应匹配电量明确的合同，支撑后续溯源。</w:t>
      </w:r>
    </w:p>
    <w:p w14:paraId="3FFB80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及之前按照《云南电力市场燃煤发电交易实施办法》开展的煤电－清洁能源电量置换交易，根据置换结果，对批发交易用户的燃煤电量合同、清洁能源电量合同进行调整。煤电电量换出方等比例承接清洁能源电量换出方的各笔清洁能源电量合同，清洁能源电量换出方等比例承接煤电电量换出方的各笔煤电电量合同。</w:t>
      </w:r>
    </w:p>
    <w:p w14:paraId="61F43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2025年及之后的合同溯源，根据煤电－存量常规水电电量置换交易结果，对批发交易用户实际应承担的煤电电量、存量常规水电电量合同进行匹配。煤电电量换出方等比例承接存量常规水电电量换出方的各笔存量常规水电电量合同，存量常规水电电量换出方等比例承接煤电电量换出方的各笔煤电电量。用户侧煤电－存量常规水电电量置换按照省内相关电力市场细则要求及流程开展。</w:t>
      </w:r>
    </w:p>
    <w:p w14:paraId="0BA9629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（2）市场化电厂的跨省跨区合同（含框架协议、市场化交易等各类分解到具体发电企业的电量）。</w:t>
      </w:r>
    </w:p>
    <w:p w14:paraId="20F7D15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（3）市场化电厂保障优先用电和代购电的合同。若优先发电上网电量＜（优先用户用电量+代购电用电量），则</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溯源使用的清洁能源合同电量为电网企业成交的每笔电量与</w:t>
      </w:r>
      <m:oMath>
        <m:f>
          <m:fPr>
            <m:ctrlPr>
              <w:rPr>
                <w:rFonts w:ascii="Cambria Math" w:hAnsi="Cambria Math" w:cs="仿宋"/>
                <w:bCs w:val="0"/>
                <w:i/>
                <w:color w:val="000000" w:themeColor="text1"/>
                <w:sz w:val="32"/>
                <w:szCs w:val="32"/>
                <w:highlight w:val="none"/>
                <w:lang w:val="en-US"/>
                <w14:textFill>
                  <w14:solidFill>
                    <w14:schemeClr w14:val="tx1"/>
                  </w14:solidFill>
                </w14:textFill>
              </w:rPr>
            </m:ctrlPr>
          </m:fPr>
          <m:num>
            <m:eqArr>
              <m:eqArrPr>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eqArrPr>
              <m:e>
                <m:r>
                  <m:rPr>
                    <m:sty m:val="p"/>
                  </m:rPr>
                  <w:rPr>
                    <w:rFonts w:hint="eastAsia" w:ascii="Cambria Math" w:hAnsi="Cambria Math" w:eastAsia="仿宋" w:cs="仿宋"/>
                    <w:color w:val="000000" w:themeColor="text1"/>
                    <w:sz w:val="32"/>
                    <w:szCs w:val="32"/>
                    <w:highlight w:val="none"/>
                    <w:lang w:val="en-US" w:eastAsia="zh-CN"/>
                    <w14:textFill>
                      <w14:solidFill>
                        <w14:schemeClr w14:val="tx1"/>
                      </w14:solidFill>
                    </w14:textFill>
                  </w:rPr>
                  <m:t>min（</m:t>
                </m:r>
                <m:nary>
                  <m:naryPr>
                    <m:chr m:val="∑"/>
                    <m:limLoc m:val="undOvr"/>
                    <m:subHide m:val="1"/>
                    <m:supHide m:val="1"/>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naryPr>
                  <m:sub>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b>
                  <m:sup>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p>
                  <m:e>
                    <m:r>
                      <m:rPr>
                        <m:sty m:val="p"/>
                      </m:rPr>
                      <w:rPr>
                        <w:rFonts w:hint="eastAsia" w:ascii="Cambria Math" w:hAnsi="Cambria Math" w:cs="仿宋"/>
                        <w:color w:val="000000" w:themeColor="text1"/>
                        <w:sz w:val="32"/>
                        <w:szCs w:val="32"/>
                        <w:highlight w:val="none"/>
                        <w:lang w:val="en-US" w:eastAsia="zh-CN"/>
                        <w14:textFill>
                          <w14:solidFill>
                            <w14:schemeClr w14:val="tx1"/>
                          </w14:solidFill>
                        </w14:textFill>
                      </w:rPr>
                      <m:t>电网企业成交电量</m:t>
                    </m:r>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e>
                </m:nary>
                <m:r>
                  <m:rPr>
                    <m:sty m:val="p"/>
                  </m:rPr>
                  <w:rPr>
                    <w:rFonts w:hint="eastAsia" w:ascii="Cambria Math" w:hAnsi="Cambria Math" w:eastAsia="仿宋" w:cs="仿宋"/>
                    <w:color w:val="000000" w:themeColor="text1"/>
                    <w:sz w:val="32"/>
                    <w:szCs w:val="32"/>
                    <w:highlight w:val="none"/>
                    <w:lang w:val="en-US" w:eastAsia="zh-CN"/>
                    <w14:textFill>
                      <w14:solidFill>
                        <w14:schemeClr w14:val="tx1"/>
                      </w14:solidFill>
                    </w14:textFill>
                  </w:rPr>
                  <m:t>，优先用户用电量</m:t>
                </m:r>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e>
              <m:e>
                <m:r>
                  <m:rPr>
                    <m:sty m:val="p"/>
                  </m:rPr>
                  <w:rPr>
                    <w:rFonts w:hint="eastAsia" w:ascii="Cambria Math" w:hAnsi="Cambria Math" w:eastAsia="仿宋" w:cs="仿宋"/>
                    <w:color w:val="000000" w:themeColor="text1"/>
                    <w:sz w:val="32"/>
                    <w:szCs w:val="32"/>
                    <w:highlight w:val="none"/>
                    <w:lang w:val="en-US" w:eastAsia="zh-CN"/>
                    <w14:textFill>
                      <w14:solidFill>
                        <w14:schemeClr w14:val="tx1"/>
                      </w14:solidFill>
                    </w14:textFill>
                  </w:rPr>
                  <m:t>+代购电用电量−优先发电</m:t>
                </m:r>
                <m:r>
                  <m:rPr>
                    <m:sty m:val="p"/>
                  </m:rPr>
                  <w:rPr>
                    <w:rFonts w:hint="eastAsia" w:ascii="Cambria Math" w:hAnsi="Cambria Math" w:cs="仿宋"/>
                    <w:color w:val="000000" w:themeColor="text1"/>
                    <w:sz w:val="32"/>
                    <w:szCs w:val="32"/>
                    <w:highlight w:val="none"/>
                    <w:lang w:val="en-US" w:eastAsia="zh-CN"/>
                    <w14:textFill>
                      <w14:solidFill>
                        <w14:schemeClr w14:val="tx1"/>
                      </w14:solidFill>
                    </w14:textFill>
                  </w:rPr>
                  <m:t>上网电量</m:t>
                </m:r>
                <m:r>
                  <m:rPr>
                    <m:sty m:val="p"/>
                  </m:rPr>
                  <w:rPr>
                    <w:rFonts w:hint="default" w:ascii="Cambria Math" w:hAnsi="Cambria Math" w:cs="仿宋"/>
                    <w:color w:val="000000" w:themeColor="text1"/>
                    <w:sz w:val="32"/>
                    <w:szCs w:val="32"/>
                    <w:highlight w:val="none"/>
                    <w:lang w:val="en-US" w:eastAsia="zh-CN"/>
                    <w14:textFill>
                      <w14:solidFill>
                        <w14:schemeClr w14:val="tx1"/>
                      </w14:solidFill>
                    </w14:textFill>
                  </w:rPr>
                  <m:t>−</m:t>
                </m:r>
                <m:nary>
                  <m:naryPr>
                    <m:chr m:val="∑"/>
                    <m:limLoc m:val="undOvr"/>
                    <m:subHide m:val="1"/>
                    <m:supHide m:val="1"/>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naryPr>
                  <m:sub>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b>
                  <m:sup>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p>
                  <m:e>
                    <m:r>
                      <m:rPr>
                        <m:sty m:val="p"/>
                      </m:rPr>
                      <w:rPr>
                        <w:rFonts w:hint="eastAsia" w:ascii="Cambria Math" w:hAnsi="Cambria Math" w:cs="仿宋"/>
                        <w:color w:val="000000" w:themeColor="text1"/>
                        <w:sz w:val="32"/>
                        <w:szCs w:val="32"/>
                        <w:highlight w:val="none"/>
                        <w:lang w:val="en-US" w:eastAsia="zh-CN"/>
                        <w14:textFill>
                          <w14:solidFill>
                            <w14:schemeClr w14:val="tx1"/>
                          </w14:solidFill>
                        </w14:textFill>
                      </w:rPr>
                      <m:t>代购电用户应承担的燃煤电量</m:t>
                    </m:r>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e>
                </m:nary>
                <m:ctrlPr>
                  <w:rPr>
                    <w:rFonts w:hint="eastAsia" w:ascii="Cambria Math" w:hAnsi="Cambria Math" w:eastAsia="仿宋" w:cs="仿宋"/>
                    <w:b w:val="0"/>
                    <w:bCs w:val="0"/>
                    <w:i w:val="0"/>
                    <w:color w:val="000000" w:themeColor="text1"/>
                    <w:sz w:val="32"/>
                    <w:szCs w:val="32"/>
                    <w:highlight w:val="none"/>
                    <w:lang w:val="en-US" w:eastAsia="zh-CN"/>
                    <w14:textFill>
                      <w14:solidFill>
                        <w14:schemeClr w14:val="tx1"/>
                      </w14:solidFill>
                    </w14:textFill>
                  </w:rPr>
                </m:ctrlPr>
              </m:e>
              <m:e>
                <m:r>
                  <m:rPr>
                    <m:sty m:val="p"/>
                  </m:rPr>
                  <w:rPr>
                    <w:rFonts w:hint="default" w:ascii="Cambria Math" w:hAnsi="Cambria Math" w:cs="仿宋"/>
                    <w:color w:val="000000" w:themeColor="text1"/>
                    <w:sz w:val="32"/>
                    <w:szCs w:val="32"/>
                    <w:highlight w:val="none"/>
                    <w:lang w:val="en-US" w:eastAsia="zh-CN"/>
                    <w14:textFill>
                      <w14:solidFill>
                        <w14:schemeClr w14:val="tx1"/>
                      </w14:solidFill>
                    </w14:textFill>
                  </w:rPr>
                  <m:t>−</m:t>
                </m:r>
                <m:nary>
                  <m:naryPr>
                    <m:chr m:val="∑"/>
                    <m:limLoc m:val="undOvr"/>
                    <m:subHide m:val="1"/>
                    <m:supHide m:val="1"/>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naryPr>
                  <m:sub>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b>
                  <m:sup>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p>
                  <m:e>
                    <m:r>
                      <m:rPr>
                        <m:sty m:val="p"/>
                      </m:rPr>
                      <w:rPr>
                        <w:rFonts w:hint="eastAsia" w:ascii="Cambria Math" w:hAnsi="Cambria Math" w:cs="仿宋"/>
                        <w:color w:val="000000" w:themeColor="text1"/>
                        <w:sz w:val="32"/>
                        <w:szCs w:val="32"/>
                        <w:highlight w:val="none"/>
                        <w:lang w:val="en-US" w:eastAsia="zh-CN"/>
                        <w14:textFill>
                          <w14:solidFill>
                            <w14:schemeClr w14:val="tx1"/>
                          </w14:solidFill>
                        </w14:textFill>
                      </w:rPr>
                      <m:t>优先认购交易结算电量</m:t>
                    </m:r>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e>
                </m:nary>
                <m:r>
                  <m:rPr>
                    <m:sty m:val="p"/>
                  </m:rPr>
                  <w:rPr>
                    <w:rFonts w:hint="eastAsia" w:ascii="Cambria Math" w:hAnsi="Cambria Math" w:eastAsia="仿宋" w:cs="仿宋"/>
                    <w:color w:val="000000" w:themeColor="text1"/>
                    <w:sz w:val="32"/>
                    <w:szCs w:val="32"/>
                    <w:highlight w:val="none"/>
                    <w:lang w:val="en-US" w:eastAsia="zh-CN"/>
                    <w14:textFill>
                      <w14:solidFill>
                        <w14:schemeClr w14:val="tx1"/>
                      </w14:solidFill>
                    </w14:textFill>
                  </w:rPr>
                  <m:t>）</m:t>
                </m:r>
                <m:ctrlPr>
                  <w:rPr>
                    <w:rFonts w:ascii="Cambria Math" w:hAnsi="Cambria Math" w:cs="仿宋"/>
                    <w:bCs w:val="0"/>
                    <w:i/>
                    <w:color w:val="000000" w:themeColor="text1"/>
                    <w:sz w:val="32"/>
                    <w:szCs w:val="32"/>
                    <w:highlight w:val="none"/>
                    <w:lang w:val="en-US"/>
                    <w14:textFill>
                      <w14:solidFill>
                        <w14:schemeClr w14:val="tx1"/>
                      </w14:solidFill>
                    </w14:textFill>
                  </w:rPr>
                </m:ctrlPr>
              </m:e>
            </m:eqArr>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num>
          <m:den>
            <m:nary>
              <m:naryPr>
                <m:chr m:val="∑"/>
                <m:limLoc m:val="undOvr"/>
                <m:subHide m:val="1"/>
                <m:supHide m:val="1"/>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naryPr>
              <m:sub>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b>
              <m:sup>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sup>
              <m:e>
                <m:r>
                  <m:rPr>
                    <m:sty m:val="p"/>
                  </m:rPr>
                  <w:rPr>
                    <w:rFonts w:hint="eastAsia" w:ascii="Cambria Math" w:hAnsi="Cambria Math" w:cs="仿宋"/>
                    <w:color w:val="000000" w:themeColor="text1"/>
                    <w:sz w:val="32"/>
                    <w:szCs w:val="32"/>
                    <w:highlight w:val="none"/>
                    <w:lang w:val="en-US" w:eastAsia="zh-CN"/>
                    <w14:textFill>
                      <w14:solidFill>
                        <w14:schemeClr w14:val="tx1"/>
                      </w14:solidFill>
                    </w14:textFill>
                  </w:rPr>
                  <m:t>电网企业成交电量</m:t>
                </m:r>
                <m:ctrlPr>
                  <w:rPr>
                    <w:rFonts w:hint="eastAsia" w:ascii="Cambria Math" w:hAnsi="Cambria Math" w:eastAsia="仿宋" w:cs="仿宋"/>
                    <w:b w:val="0"/>
                    <w:bCs w:val="0"/>
                    <w:color w:val="000000" w:themeColor="text1"/>
                    <w:sz w:val="32"/>
                    <w:szCs w:val="32"/>
                    <w:highlight w:val="none"/>
                    <w:lang w:val="en-US" w:eastAsia="zh-CN"/>
                    <w14:textFill>
                      <w14:solidFill>
                        <w14:schemeClr w14:val="tx1"/>
                      </w14:solidFill>
                    </w14:textFill>
                  </w:rPr>
                </m:ctrlPr>
              </m:e>
            </m:nary>
            <m:ctrlPr>
              <w:rPr>
                <w:rFonts w:ascii="Cambria Math" w:hAnsi="Cambria Math" w:cs="仿宋"/>
                <w:bCs w:val="0"/>
                <w:i/>
                <w:color w:val="000000" w:themeColor="text1"/>
                <w:sz w:val="32"/>
                <w:szCs w:val="32"/>
                <w:highlight w:val="none"/>
                <w:lang w:val="en-US"/>
                <w14:textFill>
                  <w14:solidFill>
                    <w14:schemeClr w14:val="tx1"/>
                  </w14:solidFill>
                </w14:textFill>
              </w:rPr>
            </m:ctrlPr>
          </m:den>
        </m:f>
      </m:oMath>
      <w:r>
        <w:rPr>
          <w:rFonts w:hint="eastAsia" w:ascii="仿宋_GB2312" w:hAnsi="仿宋_GB2312" w:eastAsia="仿宋_GB2312" w:cs="仿宋_GB2312"/>
          <w:bCs w:val="0"/>
          <w:i w:val="0"/>
          <w:color w:val="000000" w:themeColor="text1"/>
          <w:sz w:val="32"/>
          <w:szCs w:val="32"/>
          <w:highlight w:val="none"/>
          <w:lang w:val="en-US" w:eastAsia="zh-CN"/>
          <w14:textFill>
            <w14:solidFill>
              <w14:schemeClr w14:val="tx1"/>
            </w14:solidFill>
          </w14:textFill>
        </w:rPr>
        <w:t>的乘积；煤电电量取代购电用户实际应承担的煤电电量合计值；绿色电力交易电量取优先用户、代购电用户优先认购交易结算电量的合计值</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。若优先发电上网电量≥（优先用户用电量+代购电用电量），则溯源使用的合同电量为0。</w:t>
      </w:r>
    </w:p>
    <w:p w14:paraId="357D852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（4）优先发电整体与优先用电和代购电整体的合同，合同电量通过优先发电上网电量，与优先用户用电量和代购电用电量的合计值取小得到。</w:t>
      </w:r>
    </w:p>
    <w:p w14:paraId="5E40BEB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（5）优先发电整体的跨省跨区合同，根据相应年度的</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云南电网优先发电计划安排、省内市场化交易规则等分解得到。</w:t>
      </w:r>
    </w:p>
    <w:p w14:paraId="3D4AF8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2.合同溯源顺序。合同溯源按照煤电溯源、绿色电力交易溯源、存量常规水电交易溯源、其他清洁能源交易（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主要指其他水电、风电、光伏等的清洁能源市场交易电量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）溯源的顺序依次进行。</w:t>
      </w:r>
    </w:p>
    <w:p w14:paraId="5F2920B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200" w:firstLine="0" w:firstLineChars="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（1）煤电溯源</w:t>
      </w:r>
    </w:p>
    <w:p w14:paraId="0479A4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根据各用电侧主体实际应承担的煤电电量、各用电侧主体用电量（</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跨省跨区受端省份为实际送出电量，下同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）扣减绿色电力交易结算电量后的剩余电量二者取小得到煤电溯源电量。其中，售电公司实际应承担的煤电电量为其代理的全部零售用户实际应承担煤电电量的合计值。</w:t>
      </w:r>
    </w:p>
    <w:p w14:paraId="7D8443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（2）绿色电力交易溯源</w:t>
      </w:r>
    </w:p>
    <w:p w14:paraId="6B3361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绿色电力交易溯源电量等于绿色电力交易结算电量。</w:t>
      </w:r>
    </w:p>
    <w:p w14:paraId="25B67C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（3）存量常规水电交易溯源</w:t>
      </w:r>
    </w:p>
    <w:p w14:paraId="5746B2A4">
      <w:pPr>
        <w:pageBreakBefore w:val="0"/>
        <w:kinsoku/>
        <w:wordWrap/>
        <w:overflowPunct/>
        <w:topLinePunct w:val="0"/>
        <w:autoSpaceDE/>
        <w:autoSpaceDN/>
        <w:bidi w:val="0"/>
        <w:adjustRightInd/>
        <w:snapToGrid/>
        <w:spacing w:before="0" w:after="0" w:line="360" w:lineRule="auto"/>
        <w:ind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在发电侧，通过各笔存量常规水电交易合同电量占发电企业全部存量常规水电合同电量的比重，与发电企业上网电量相乘得到各笔合同匹配的上网电量。</w:t>
      </w:r>
    </w:p>
    <w:p w14:paraId="59F2D4DC">
      <w:pPr>
        <w:pageBreakBefore w:val="0"/>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在用电侧，通过各笔存量常规水电交易合同电量占用电侧主体全部存量常规水电合同电量的比重，与用电侧主体用电量扣减煤电溯源电量、绿色电力交易溯源电量后的剩余电量相乘得到各笔合同匹配的用电量。</w:t>
      </w:r>
    </w:p>
    <w:p w14:paraId="7E59F491">
      <w:pPr>
        <w:pageBreakBefore w:val="0"/>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根据合同电量、合同匹配的上网电量、合同匹配的用电量三者取小得到各笔存量常规水电交易合同的溯源电量。</w:t>
      </w:r>
    </w:p>
    <w:p w14:paraId="7770D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（4）其他清洁能源交易溯源</w:t>
      </w:r>
    </w:p>
    <w:p w14:paraId="6F03EECF">
      <w:pPr>
        <w:pageBreakBefore w:val="0"/>
        <w:kinsoku/>
        <w:wordWrap/>
        <w:overflowPunct/>
        <w:topLinePunct w:val="0"/>
        <w:autoSpaceDE/>
        <w:autoSpaceDN/>
        <w:bidi w:val="0"/>
        <w:adjustRightInd/>
        <w:snapToGrid/>
        <w:spacing w:before="0" w:after="0" w:line="360" w:lineRule="auto"/>
        <w:ind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在发电侧</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，通过各笔其他清洁能源交易合同电量占发电企业全部其他清洁能源交易合同电量的比重，与发电企业上网电量扣减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绿色电力交易溯源后的剩余电量</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相乘，得到各笔合同匹配的上网电量。</w:t>
      </w:r>
    </w:p>
    <w:p w14:paraId="6563A1DF">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用电侧，通过各笔其他清洁能源交易合同电量占用电侧主体全部其他清洁能源交易合同电量的比重，与用电侧主体用电量扣减煤电溯源电量、绿色电力交易溯源电量、存量常规水电交易溯源电量后的剩余电量相乘得到各笔合同匹配的用电量。</w:t>
      </w:r>
    </w:p>
    <w:p w14:paraId="0504D5CC">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根据合同电量、合同匹配的上网电量、合同匹配的用电量三者取小得到各笔其他清洁能源交易合同的溯源电量。</w:t>
      </w:r>
    </w:p>
    <w:p w14:paraId="5EEBD2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（二）平衡溯源</w:t>
      </w:r>
    </w:p>
    <w:p w14:paraId="3DAE10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合同溯源后未被溯源的剩余上网电量和用电量，通过事后的平衡溯源明确对应匹配关系和匹配电量。发电侧，省内水火风光各类型发电企业上网电量扣减合同溯源电量后的剩余电量纳入平衡溯源。用电侧，各类用电侧主体用电量扣减合同溯源电量后的剩余电量纳入平衡溯源。</w:t>
      </w:r>
    </w:p>
    <w:p w14:paraId="35F18DFD">
      <w:pPr>
        <w:keepNext w:val="0"/>
        <w:keepLines w:val="0"/>
        <w:pageBreakBefore w:val="0"/>
        <w:widowControl w:val="0"/>
        <w:numPr>
          <w:ilvl w:val="0"/>
          <w:numId w:val="0"/>
        </w:numPr>
        <w:tabs>
          <w:tab w:val="left" w:pos="7088"/>
        </w:tabs>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首先计算发电侧剩余电量中的电源成分（存量常规水电、其他水电、风电、光伏、煤电）及占比。各用电侧主体剩余电量与各类电源成分占比相乘得到各用电侧主体应匹配的存量常规水电电量、其他水电电量、风电电量、光伏电量、煤电电量。</w:t>
      </w:r>
    </w:p>
    <w:p w14:paraId="4730ED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存量常规水电、其他水电、风电、光伏、煤电五种类型，分别在发电侧、用电侧按电量从大到小的顺序排序，以用电侧主体应匹配电量为目标，按照排序依次匹配，直至排在最后一位的用电侧主体匹配完成，形成发电企业与用电侧主体的对应关系以及对应匹配电量。</w:t>
      </w:r>
    </w:p>
    <w:p w14:paraId="58A82C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溯源和平衡溯源完成后，电力交易机构应对溯源数据进行校核，各发电侧主体溯源电量合计值应等于上网电量，各用电侧主体溯源电量合计值应等于用电量。校核通过后，电力交易机构应将校核通过后的存量常规水电的合同溯源电量和平衡溯源电量</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以特定信息</w:t>
      </w:r>
      <w:r>
        <w:rPr>
          <w:rFonts w:hint="eastAsia" w:ascii="仿宋_GB2312" w:hAnsi="仿宋_GB2312" w:eastAsia="仿宋_GB2312" w:cs="仿宋_GB2312"/>
          <w:b w:val="0"/>
          <w:bCs w:val="0"/>
          <w:i w:val="0"/>
          <w:iCs w:val="0"/>
          <w:color w:val="000000" w:themeColor="text1"/>
          <w:sz w:val="32"/>
          <w:szCs w:val="32"/>
          <w:highlight w:val="none"/>
          <w14:textFill>
            <w14:solidFill>
              <w14:schemeClr w14:val="tx1"/>
            </w14:solidFill>
          </w14:textFill>
        </w:rPr>
        <w:t>的方式</w:t>
      </w:r>
      <w:r>
        <w:rPr>
          <w:rFonts w:hint="eastAsia" w:ascii="仿宋_GB2312" w:hAnsi="仿宋_GB2312" w:eastAsia="仿宋_GB2312" w:cs="仿宋_GB2312"/>
          <w:b w:val="0"/>
          <w:bCs w:val="0"/>
          <w:i w:val="0"/>
          <w:iCs w:val="0"/>
          <w:color w:val="000000" w:themeColor="text1"/>
          <w:sz w:val="32"/>
          <w:szCs w:val="32"/>
          <w:highlight w:val="none"/>
          <w:lang w:val="en-US" w:eastAsia="zh-CN"/>
          <w14:textFill>
            <w14:solidFill>
              <w14:schemeClr w14:val="tx1"/>
            </w14:solidFill>
          </w14:textFill>
        </w:rPr>
        <w:t>向涉及的特定主体发布。市场主体对溯源电量存在异议的，应当在结果发布5个工作日内向电力交易机构提出，由电力交易机构在5个工作日内给予解释，逾期未提出异议的，视为无异议。据此得到批发市场溯源电量。</w:t>
      </w:r>
    </w:p>
    <w:p w14:paraId="58850AF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零售市场溯源</w:t>
      </w:r>
    </w:p>
    <w:p w14:paraId="4FA787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批发市场溯源完成后，开展零售市场溯源。零售市场溯源按如下步骤进行：</w:t>
      </w:r>
    </w:p>
    <w:p w14:paraId="7089C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（一）初始匹配</w:t>
      </w:r>
    </w:p>
    <w:p w14:paraId="22E7084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1.先进行绿色电力交易匹配，匹配电量等于零售用户绿色电力交易结算电量。</w:t>
      </w:r>
    </w:p>
    <w:p w14:paraId="057C29E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2.再进行煤电电量匹配。初始煤电电量匹配电量等于用户应承担的煤电电量占售电公司当月全部用户应承担的煤电电量的比重，与售电公司煤电溯源电量的乘积。若某零售用户的绿色电力交易结算电量与初始煤电电量匹配电量的合计值大于零售用户用电量，多余部分以零售用户用电量扣减零售用户绿色电力交易结算电量再扣减初始煤电电量匹配电量，与0二者取大为权重，等比例匹配给其他零售用户。</w:t>
      </w:r>
    </w:p>
    <w:p w14:paraId="44CB412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3.最后进行其他电源成分匹配。以零售用户用电量扣减零售用户绿色电力交易结算电量再扣减零售用户煤电溯源电量的剩余电量，与0二者取大为权重，等比例承接售电公司除绿色电力交易溯源、煤电电量溯源外的其他电源成分的溯源电量。其中，存量常规水电溯源结果单独展示。</w:t>
      </w:r>
    </w:p>
    <w:p w14:paraId="7D831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（二）调整匹配</w:t>
      </w:r>
    </w:p>
    <w:p w14:paraId="2300E5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在初始匹配结果的基础上，售电公司可选择两个及以上用户进行用户间匹配结果的调整，调整前后相关用户各类型电量合计值保持不变，且各用户各类型电量的合计值等于用电量。若绿色电力零售套餐约定</w:t>
      </w:r>
      <w:r>
        <w:rPr>
          <w:rFonts w:hint="eastAsia" w:ascii="仿宋_GB2312" w:hAnsi="仿宋_GB2312" w:eastAsia="仿宋_GB2312" w:cs="仿宋_GB2312"/>
          <w:b w:val="0"/>
          <w:bCs w:val="0"/>
          <w:color w:val="000000" w:themeColor="text1"/>
          <w:sz w:val="32"/>
          <w:szCs w:val="24"/>
          <w:highlight w:val="none"/>
          <w:lang w:val="en-US" w:eastAsia="zh-CN"/>
          <w14:textFill>
            <w14:solidFill>
              <w14:schemeClr w14:val="tx1"/>
            </w14:solidFill>
          </w14:textFill>
        </w:rPr>
        <w:t>允许售电公司确认溯源结果，则调整匹配结果无需用户确认，直接生效；否则，</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调整匹配结果需经所有相关用户确认后生效。绿色电力交易匹配电量不可调整。调整匹配由电力交易机构按需适时组织开展。</w:t>
      </w:r>
    </w:p>
    <w:p w14:paraId="32E07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（三）交易单元匹配顺序</w:t>
      </w:r>
    </w:p>
    <w:p w14:paraId="1EF425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1.确定绿色电力交易匹配关系。绿色电力交易的匹配关系，与绿色电力交易结算时确定的匹配关系一致。</w:t>
      </w:r>
    </w:p>
    <w:p w14:paraId="4E92F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2.确定其余电量匹配关系。初始匹配、调整匹配完成后，分不同的电源类型，在电厂侧、用电侧均按照电量从大到小排序，按照排序依次匹配，直至排在最后一位的用户匹配完成，形成各类电源与零售用户的对应关系以及对应匹配电量。</w:t>
      </w:r>
    </w:p>
    <w:p w14:paraId="22D8CDA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b w:val="0"/>
          <w:bCs w:val="0"/>
          <w:color w:val="000000" w:themeColor="text1"/>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Cs w:val="24"/>
          <w:highlight w:val="none"/>
          <w:lang w:val="en-US" w:eastAsia="zh-CN"/>
          <w14:textFill>
            <w14:solidFill>
              <w14:schemeClr w14:val="tx1"/>
            </w14:solidFill>
          </w14:textFill>
        </w:rPr>
        <w:t>发电项目匹配</w:t>
      </w:r>
    </w:p>
    <w:p w14:paraId="25C4F0D1">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电网公司向电力交易机构提供各存量常规水电发电项目的上网电量数据，电力交易机构与发电企业进行数据核对，发电企业对数据的准确性负责</w:t>
      </w:r>
      <w:r>
        <w:rPr>
          <w:rFonts w:hint="eastAsia" w:ascii="仿宋_GB2312" w:hAnsi="仿宋_GB2312" w:eastAsia="仿宋_GB2312" w:cs="仿宋_GB2312"/>
          <w:color w:val="000000" w:themeColor="text1"/>
          <w:highlight w:val="none"/>
          <w14:textFill>
            <w14:solidFill>
              <w14:schemeClr w14:val="tx1"/>
            </w14:solidFill>
          </w14:textFill>
        </w:rPr>
        <w:t>。</w:t>
      </w:r>
    </w:p>
    <w:p w14:paraId="0F28A6CF">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将存量常规水电交易单元与电力用户的溯源电量按照从大到小的顺序排序，交易单元映射各发电项目按照上网电量从大到小的顺序排序，按照排序依次匹配，直至排在最后的发电项目上网电量匹配完成，形成存量常规水电发电</w:t>
      </w:r>
      <w:r>
        <w:rPr>
          <w:rFonts w:hint="eastAsia" w:ascii="仿宋_GB2312" w:hAnsi="仿宋_GB2312" w:eastAsia="仿宋_GB2312" w:cs="仿宋_GB2312"/>
          <w:b w:val="0"/>
          <w:bCs w:val="0"/>
          <w:color w:val="000000" w:themeColor="text1"/>
          <w:spacing w:val="-6"/>
          <w:sz w:val="32"/>
          <w:highlight w:val="none"/>
          <w:lang w:val="en-US" w:eastAsia="zh-CN"/>
          <w14:textFill>
            <w14:solidFill>
              <w14:schemeClr w14:val="tx1"/>
            </w14:solidFill>
          </w14:textFill>
        </w:rPr>
        <w:t>项目与电力用户的对应关系，用于后续存量常规水电绿证划转。</w:t>
      </w:r>
    </w:p>
    <w:p w14:paraId="22BC5A81">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发电项目匹配时，因项目未及时建档立卡等原因，导致未完成发电项目匹配工作的，由电力交易机构适时组织发电项目补充匹配。</w:t>
      </w:r>
    </w:p>
    <w:p w14:paraId="463D78D8">
      <w:pPr>
        <w:pageBreakBefore w:val="0"/>
        <w:numPr>
          <w:ilvl w:val="0"/>
          <w:numId w:val="2"/>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color w:val="000000" w:themeColor="text1"/>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Cs w:val="24"/>
          <w:highlight w:val="none"/>
          <w:lang w:val="en-US" w:eastAsia="zh-CN"/>
          <w14:textFill>
            <w14:solidFill>
              <w14:schemeClr w14:val="tx1"/>
            </w14:solidFill>
          </w14:textFill>
        </w:rPr>
        <w:t>计量差错清算</w:t>
      </w:r>
    </w:p>
    <w:p w14:paraId="057420B0">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Cs w:val="24"/>
          <w:highlight w:val="none"/>
          <w:lang w:val="en-US" w:eastAsia="zh-CN"/>
          <w14:textFill>
            <w14:solidFill>
              <w14:schemeClr w14:val="tx1"/>
            </w14:solidFill>
          </w14:textFill>
        </w:rPr>
        <w:t>因计量差错导致的溯源电量事后异议处理，根据国家有关规定另行明确。</w:t>
      </w:r>
    </w:p>
    <w:p w14:paraId="1BC321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第八章  绿证管理</w:t>
      </w:r>
    </w:p>
    <w:p w14:paraId="586A47B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存量常规水电项</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目绿证管理。通过电力交易溯源明确的流向市场化用户的存量常规水电电量对应的绿证划转至相应市场化用户。通过电力交易溯源明确的流向优先用电用户和代购电用户的存量常规水电电量对应的绿证划转至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省级绿证账户。</w:t>
      </w:r>
    </w:p>
    <w:p w14:paraId="1F65673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趸售用户、园区用户、增量配电网等购买绿色电力后，按照要求可将相应电量对应的绿证匹配至实际消费的用户，并及时将匹配结果提交至电力交易机构。</w:t>
      </w:r>
    </w:p>
    <w:p w14:paraId="2E1997AB">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b w:val="0"/>
          <w:bCs w:val="0"/>
          <w:color w:val="000000" w:themeColor="text1"/>
          <w:highlight w:val="none"/>
          <w:lang w:val="en-US" w:eastAsia="zh-CN"/>
          <w14:textFill>
            <w14:solidFill>
              <w14:schemeClr w14:val="tx1"/>
            </w14:solidFill>
          </w14:textFill>
        </w:rPr>
        <w:t>（一）电力交易机构依托电网企业档案数据进行</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趸售用户、园区用户、增量配电网的识别，经对应市场主体核实后确认身份标识。</w:t>
      </w:r>
    </w:p>
    <w:p w14:paraId="116C09B3">
      <w:pPr>
        <w:pageBreakBefore w:val="0"/>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二）绿色电力交易结算完成后或者电力交易溯源完成后，趸售用户、园区用户、增量配电网等主体需按电力交易机构公告信息的相关要求，将匹配对象基础信息，匹配电量、用户实际用电量等提交至电力交易机构，用于后续绿证核发。匹配电量需小于等于用户实际用电量。趸售用户、园区用户、增量配电网等主体对匹配对象的基础信息、匹配电量、用户实际用电量等信息准确性负责。</w:t>
      </w:r>
    </w:p>
    <w:p w14:paraId="7A9AACA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电力交易机构按月将绿色电力交易结果、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结算依据等经</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广州电力交易中心同步至国家绿证核发交易系统，用于绿证划转。</w:t>
      </w:r>
    </w:p>
    <w:p w14:paraId="404B40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第九章  市场服务</w:t>
      </w:r>
    </w:p>
    <w:p w14:paraId="5E29BDA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绿色电力交易电能量部分收费标准参照云南省中长期电力交易的交易服务费收费标准执行。</w:t>
      </w:r>
    </w:p>
    <w:p w14:paraId="6B07EA9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为实现绿色电力全生命周期的追踪溯源，电力交易机构需根据批发侧绿色电力交易及零售侧绿色电力交易数据、绿色电力交易结算数据等，整理形成购、售电主体对应关系明确，对应交易电量明确的数据，并将全业务环节信息通过区块链进行存储。</w:t>
      </w:r>
    </w:p>
    <w:p w14:paraId="6ED96C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仿宋" w:cs="宋体"/>
          <w:b w:val="0"/>
          <w:bCs w:val="0"/>
          <w:color w:val="000000" w:themeColor="text1"/>
          <w:sz w:val="32"/>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kern w:val="44"/>
          <w:sz w:val="32"/>
          <w:szCs w:val="24"/>
          <w:highlight w:val="none"/>
          <w:lang w:val="en-US" w:eastAsia="zh-CN" w:bidi="ar-SA"/>
          <w14:textFill>
            <w14:solidFill>
              <w14:schemeClr w14:val="tx1"/>
            </w14:solidFill>
          </w14:textFill>
        </w:rPr>
        <w:t>第十章  附则</w:t>
      </w:r>
    </w:p>
    <w:p w14:paraId="524EB67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本细则未尽事宜按照国家相关政策、省内相关电力市场细则以及南方区域绿色电力交易规则等规定执行。执行过程中，遇国家相关政策调整的，按最新政策执行。</w:t>
      </w:r>
    </w:p>
    <w:p w14:paraId="098553F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本实施细则由国家能源局云南监管办公室负责解释。</w:t>
      </w:r>
    </w:p>
    <w:p w14:paraId="357EF3E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本细则自公布之日起施行。</w:t>
      </w:r>
    </w:p>
    <w:p w14:paraId="3BE16D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cs="宋体"/>
          <w:b w:val="0"/>
          <w:bCs w:val="0"/>
          <w:color w:val="000000" w:themeColor="text1"/>
          <w:sz w:val="32"/>
          <w:highlight w:val="none"/>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1D38E5-ACFC-4C33-BEB7-24AB5FA849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5E970BC-76B5-44E1-951F-EC36FA4BC2B9}"/>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393F267-2C06-468C-BF23-E45F27956791}"/>
  </w:font>
  <w:font w:name="方正黑体简体">
    <w:panose1 w:val="03000509000000000000"/>
    <w:charset w:val="86"/>
    <w:family w:val="auto"/>
    <w:pitch w:val="default"/>
    <w:sig w:usb0="00000001" w:usb1="080E0000" w:usb2="00000000" w:usb3="00000000" w:csb0="00040000" w:csb1="00000000"/>
    <w:embedRegular r:id="rId4" w:fontKey="{E6CCCBAD-E5CD-43DE-BEBE-1CCA69775E63}"/>
  </w:font>
  <w:font w:name="方正小标宋_GBK">
    <w:panose1 w:val="02000000000000000000"/>
    <w:charset w:val="86"/>
    <w:family w:val="auto"/>
    <w:pitch w:val="default"/>
    <w:sig w:usb0="A00002BF" w:usb1="38CF7CFA" w:usb2="00082016" w:usb3="00000000" w:csb0="00040001" w:csb1="00000000"/>
    <w:embedRegular r:id="rId5" w:fontKey="{9E259648-1C32-4286-809E-3C54B079581E}"/>
  </w:font>
  <w:font w:name="楷体">
    <w:panose1 w:val="02010609060101010101"/>
    <w:charset w:val="86"/>
    <w:family w:val="modern"/>
    <w:pitch w:val="default"/>
    <w:sig w:usb0="800002BF" w:usb1="38CF7CFA" w:usb2="00000016" w:usb3="00000000" w:csb0="00040001" w:csb1="00000000"/>
    <w:embedRegular r:id="rId6" w:fontKey="{7EA2BD8B-8ADB-4B7B-80BB-E272CC8D462F}"/>
  </w:font>
  <w:font w:name="楷体_GB2312">
    <w:altName w:val="楷体"/>
    <w:panose1 w:val="02010609030101010101"/>
    <w:charset w:val="86"/>
    <w:family w:val="auto"/>
    <w:pitch w:val="default"/>
    <w:sig w:usb0="00000000" w:usb1="00000000" w:usb2="00000000" w:usb3="00000000" w:csb0="00040000" w:csb1="00000000"/>
    <w:embedRegular r:id="rId7" w:fontKey="{2987309D-BF22-4E2F-9FDF-0AB4272046A5}"/>
  </w:font>
  <w:font w:name="华文仿宋">
    <w:panose1 w:val="02010600040101010101"/>
    <w:charset w:val="86"/>
    <w:family w:val="auto"/>
    <w:pitch w:val="default"/>
    <w:sig w:usb0="00000287" w:usb1="080F0000" w:usb2="00000000" w:usb3="00000000" w:csb0="0004009F" w:csb1="DFD70000"/>
    <w:embedRegular r:id="rId8" w:fontKey="{C6E80C9B-7AA8-4AE6-ADFE-C9DDE13CED17}"/>
  </w:font>
  <w:font w:name="Cambria Math">
    <w:panose1 w:val="02040503050406030204"/>
    <w:charset w:val="00"/>
    <w:family w:val="auto"/>
    <w:pitch w:val="default"/>
    <w:sig w:usb0="E00006FF" w:usb1="420024FF" w:usb2="02000000" w:usb3="00000000" w:csb0="2000019F" w:csb1="00000000"/>
    <w:embedRegular r:id="rId9" w:fontKey="{AA73299F-10D1-4D5A-9DDA-9746A8D82E4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5C3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902F7">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A902F7">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1D11A"/>
    <w:multiLevelType w:val="singleLevel"/>
    <w:tmpl w:val="D0C1D11A"/>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第%1条 "/>
      <w:lvlJc w:val="left"/>
      <w:pPr>
        <w:ind w:left="0" w:firstLine="0"/>
      </w:pPr>
      <w:rPr>
        <w:rFonts w:hint="eastAsia" w:ascii="Times New Roman" w:hAnsi="Times New Roman" w:eastAsia="楷体"/>
        <w:sz w:val="32"/>
        <w:lang w:val="en-US"/>
      </w:rPr>
    </w:lvl>
  </w:abstractNum>
  <w:abstractNum w:abstractNumId="2">
    <w:nsid w:val="609A2FBA"/>
    <w:multiLevelType w:val="multilevel"/>
    <w:tmpl w:val="609A2FBA"/>
    <w:lvl w:ilvl="0" w:tentative="0">
      <w:start w:val="1"/>
      <w:numFmt w:val="chineseCountingThousand"/>
      <w:pStyle w:val="17"/>
      <w:lvlText w:val="第%1条"/>
      <w:lvlJc w:val="left"/>
      <w:pPr>
        <w:tabs>
          <w:tab w:val="left" w:pos="1418"/>
        </w:tabs>
        <w:ind w:left="227" w:firstLine="624"/>
      </w:pPr>
      <w:rPr>
        <w:b/>
        <w:lang w:val="en-US"/>
      </w:rPr>
    </w:lvl>
    <w:lvl w:ilvl="1" w:tentative="0">
      <w:start w:val="1"/>
      <w:numFmt w:val="decimal"/>
      <w:lvlText w:val="%1.%2"/>
      <w:lvlJc w:val="left"/>
      <w:pPr>
        <w:ind w:left="-142" w:hanging="567"/>
      </w:pPr>
      <w:rPr>
        <w:rFonts w:hint="eastAsia"/>
      </w:rPr>
    </w:lvl>
    <w:lvl w:ilvl="2" w:tentative="0">
      <w:start w:val="1"/>
      <w:numFmt w:val="decimal"/>
      <w:lvlText w:val="%1.%2.%3"/>
      <w:lvlJc w:val="left"/>
      <w:pPr>
        <w:ind w:left="284" w:hanging="567"/>
      </w:pPr>
      <w:rPr>
        <w:rFonts w:hint="eastAsia"/>
      </w:rPr>
    </w:lvl>
    <w:lvl w:ilvl="3" w:tentative="0">
      <w:start w:val="1"/>
      <w:numFmt w:val="decimal"/>
      <w:lvlText w:val="%1.%2.%3.%4"/>
      <w:lvlJc w:val="left"/>
      <w:pPr>
        <w:ind w:left="850" w:hanging="708"/>
      </w:pPr>
      <w:rPr>
        <w:rFonts w:hint="eastAsia"/>
      </w:rPr>
    </w:lvl>
    <w:lvl w:ilvl="4" w:tentative="0">
      <w:start w:val="1"/>
      <w:numFmt w:val="decimal"/>
      <w:lvlText w:val="%1.%2.%3.%4.%5"/>
      <w:lvlJc w:val="left"/>
      <w:pPr>
        <w:ind w:left="1417" w:hanging="850"/>
      </w:pPr>
      <w:rPr>
        <w:rFonts w:hint="eastAsia"/>
      </w:rPr>
    </w:lvl>
    <w:lvl w:ilvl="5" w:tentative="0">
      <w:start w:val="1"/>
      <w:numFmt w:val="decimal"/>
      <w:lvlText w:val="%1.%2.%3.%4.%5.%6"/>
      <w:lvlJc w:val="left"/>
      <w:pPr>
        <w:ind w:left="2126" w:hanging="1134"/>
      </w:pPr>
      <w:rPr>
        <w:rFonts w:hint="eastAsia"/>
      </w:rPr>
    </w:lvl>
    <w:lvl w:ilvl="6" w:tentative="0">
      <w:start w:val="1"/>
      <w:numFmt w:val="decimal"/>
      <w:lvlText w:val="%1.%2.%3.%4.%5.%6.%7"/>
      <w:lvlJc w:val="left"/>
      <w:pPr>
        <w:ind w:left="2693" w:hanging="1276"/>
      </w:pPr>
      <w:rPr>
        <w:rFonts w:hint="eastAsia"/>
      </w:rPr>
    </w:lvl>
    <w:lvl w:ilvl="7" w:tentative="0">
      <w:start w:val="1"/>
      <w:numFmt w:val="decimal"/>
      <w:lvlText w:val="%1.%2.%3.%4.%5.%6.%7.%8"/>
      <w:lvlJc w:val="left"/>
      <w:pPr>
        <w:ind w:left="3260" w:hanging="1418"/>
      </w:pPr>
      <w:rPr>
        <w:rFonts w:hint="eastAsia"/>
      </w:rPr>
    </w:lvl>
    <w:lvl w:ilvl="8" w:tentative="0">
      <w:start w:val="1"/>
      <w:numFmt w:val="decimal"/>
      <w:lvlText w:val="%1.%2.%3.%4.%5.%6.%7.%8.%9"/>
      <w:lvlJc w:val="left"/>
      <w:pPr>
        <w:ind w:left="3968"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mIxNzk4OGUzMjYzYmVjNjI4MjJmNGRiMDRkYzcifQ=="/>
  </w:docVars>
  <w:rsids>
    <w:rsidRoot w:val="00000000"/>
    <w:rsid w:val="00384CE9"/>
    <w:rsid w:val="006B423F"/>
    <w:rsid w:val="007D1F5A"/>
    <w:rsid w:val="00803775"/>
    <w:rsid w:val="008555F9"/>
    <w:rsid w:val="008C2357"/>
    <w:rsid w:val="009602C8"/>
    <w:rsid w:val="00976DA1"/>
    <w:rsid w:val="00B917E2"/>
    <w:rsid w:val="00C171CC"/>
    <w:rsid w:val="00F04498"/>
    <w:rsid w:val="0142379A"/>
    <w:rsid w:val="01700269"/>
    <w:rsid w:val="018C326C"/>
    <w:rsid w:val="019B3110"/>
    <w:rsid w:val="019B714C"/>
    <w:rsid w:val="019C3F67"/>
    <w:rsid w:val="01FF3BC3"/>
    <w:rsid w:val="0214373A"/>
    <w:rsid w:val="02385327"/>
    <w:rsid w:val="024271BB"/>
    <w:rsid w:val="02745E8B"/>
    <w:rsid w:val="0275668A"/>
    <w:rsid w:val="0283101D"/>
    <w:rsid w:val="029201D1"/>
    <w:rsid w:val="029E0CDB"/>
    <w:rsid w:val="02C93D1E"/>
    <w:rsid w:val="02E25302"/>
    <w:rsid w:val="02EC685C"/>
    <w:rsid w:val="02F74BED"/>
    <w:rsid w:val="02F9031A"/>
    <w:rsid w:val="030E2C42"/>
    <w:rsid w:val="03171D87"/>
    <w:rsid w:val="03476416"/>
    <w:rsid w:val="034C1904"/>
    <w:rsid w:val="03556287"/>
    <w:rsid w:val="0364779F"/>
    <w:rsid w:val="0374044C"/>
    <w:rsid w:val="03862521"/>
    <w:rsid w:val="038E0D7E"/>
    <w:rsid w:val="038E3701"/>
    <w:rsid w:val="039A6B99"/>
    <w:rsid w:val="039B38CC"/>
    <w:rsid w:val="03A91864"/>
    <w:rsid w:val="03C255BA"/>
    <w:rsid w:val="03FD6699"/>
    <w:rsid w:val="03FF3B5E"/>
    <w:rsid w:val="04277BCC"/>
    <w:rsid w:val="042D13E6"/>
    <w:rsid w:val="04445C33"/>
    <w:rsid w:val="045040FC"/>
    <w:rsid w:val="04834964"/>
    <w:rsid w:val="04960E16"/>
    <w:rsid w:val="049C2D1F"/>
    <w:rsid w:val="049C4F1D"/>
    <w:rsid w:val="04B5226C"/>
    <w:rsid w:val="04CE4179"/>
    <w:rsid w:val="04F81DB4"/>
    <w:rsid w:val="055409F5"/>
    <w:rsid w:val="056004DF"/>
    <w:rsid w:val="05665C6B"/>
    <w:rsid w:val="056B2589"/>
    <w:rsid w:val="0598238A"/>
    <w:rsid w:val="05A24224"/>
    <w:rsid w:val="05A63FAE"/>
    <w:rsid w:val="05BC7182"/>
    <w:rsid w:val="05C54482"/>
    <w:rsid w:val="05C71188"/>
    <w:rsid w:val="05E5616D"/>
    <w:rsid w:val="05EE6FDE"/>
    <w:rsid w:val="05F12F83"/>
    <w:rsid w:val="05FB72BE"/>
    <w:rsid w:val="05FD5DDE"/>
    <w:rsid w:val="06004E9C"/>
    <w:rsid w:val="061943DE"/>
    <w:rsid w:val="06286CBD"/>
    <w:rsid w:val="064A13E1"/>
    <w:rsid w:val="0654166A"/>
    <w:rsid w:val="066E30C6"/>
    <w:rsid w:val="06782196"/>
    <w:rsid w:val="06887047"/>
    <w:rsid w:val="068F69D2"/>
    <w:rsid w:val="06C824AF"/>
    <w:rsid w:val="06CD64B7"/>
    <w:rsid w:val="06DD0CD0"/>
    <w:rsid w:val="06F37E7F"/>
    <w:rsid w:val="07005A0C"/>
    <w:rsid w:val="071A3B47"/>
    <w:rsid w:val="07260577"/>
    <w:rsid w:val="07365D80"/>
    <w:rsid w:val="0754581C"/>
    <w:rsid w:val="077B00A1"/>
    <w:rsid w:val="07855DAA"/>
    <w:rsid w:val="078A686A"/>
    <w:rsid w:val="07B92C3C"/>
    <w:rsid w:val="07C879D4"/>
    <w:rsid w:val="07EF4010"/>
    <w:rsid w:val="08037B90"/>
    <w:rsid w:val="081845DE"/>
    <w:rsid w:val="081E2961"/>
    <w:rsid w:val="08251E45"/>
    <w:rsid w:val="0854453D"/>
    <w:rsid w:val="085D2FD8"/>
    <w:rsid w:val="0862650C"/>
    <w:rsid w:val="08633FCF"/>
    <w:rsid w:val="088E3F19"/>
    <w:rsid w:val="08934557"/>
    <w:rsid w:val="089538A4"/>
    <w:rsid w:val="08961326"/>
    <w:rsid w:val="089B57AE"/>
    <w:rsid w:val="089F178C"/>
    <w:rsid w:val="08B66B90"/>
    <w:rsid w:val="08C07155"/>
    <w:rsid w:val="08ED1D35"/>
    <w:rsid w:val="08F64F1B"/>
    <w:rsid w:val="08FA104A"/>
    <w:rsid w:val="09012F5C"/>
    <w:rsid w:val="090E53FA"/>
    <w:rsid w:val="091800EB"/>
    <w:rsid w:val="092A3D98"/>
    <w:rsid w:val="094373B3"/>
    <w:rsid w:val="094B7B50"/>
    <w:rsid w:val="0953282C"/>
    <w:rsid w:val="095F2F6D"/>
    <w:rsid w:val="099E0166"/>
    <w:rsid w:val="09B0637B"/>
    <w:rsid w:val="09B61BD9"/>
    <w:rsid w:val="09BD446E"/>
    <w:rsid w:val="09C01D0D"/>
    <w:rsid w:val="09C15590"/>
    <w:rsid w:val="09FF1A5B"/>
    <w:rsid w:val="0A150695"/>
    <w:rsid w:val="0A183A20"/>
    <w:rsid w:val="0A3066BF"/>
    <w:rsid w:val="0A3A0C7E"/>
    <w:rsid w:val="0A503B7A"/>
    <w:rsid w:val="0A652A31"/>
    <w:rsid w:val="0A6B50A1"/>
    <w:rsid w:val="0A891756"/>
    <w:rsid w:val="0A931D71"/>
    <w:rsid w:val="0AE47875"/>
    <w:rsid w:val="0AED4CFD"/>
    <w:rsid w:val="0B157498"/>
    <w:rsid w:val="0B533417"/>
    <w:rsid w:val="0B620406"/>
    <w:rsid w:val="0B6921E9"/>
    <w:rsid w:val="0B891377"/>
    <w:rsid w:val="0B9F6679"/>
    <w:rsid w:val="0BA34D96"/>
    <w:rsid w:val="0BBB6D6F"/>
    <w:rsid w:val="0BD14982"/>
    <w:rsid w:val="0BDB6711"/>
    <w:rsid w:val="0BDD4A63"/>
    <w:rsid w:val="0BE07789"/>
    <w:rsid w:val="0BF05825"/>
    <w:rsid w:val="0C1856E4"/>
    <w:rsid w:val="0C1A1FD0"/>
    <w:rsid w:val="0C222C8F"/>
    <w:rsid w:val="0C2B6903"/>
    <w:rsid w:val="0C616EB3"/>
    <w:rsid w:val="0C8B34A5"/>
    <w:rsid w:val="0C8D767F"/>
    <w:rsid w:val="0C9949B9"/>
    <w:rsid w:val="0CBD7426"/>
    <w:rsid w:val="0CC52413"/>
    <w:rsid w:val="0CC86A61"/>
    <w:rsid w:val="0CFD24DF"/>
    <w:rsid w:val="0D2F656F"/>
    <w:rsid w:val="0D46168D"/>
    <w:rsid w:val="0D5663F1"/>
    <w:rsid w:val="0DBE6D1A"/>
    <w:rsid w:val="0DC15AA0"/>
    <w:rsid w:val="0DC30FA3"/>
    <w:rsid w:val="0DC444A6"/>
    <w:rsid w:val="0DEF1DDE"/>
    <w:rsid w:val="0DF43970"/>
    <w:rsid w:val="0E0013EF"/>
    <w:rsid w:val="0E057164"/>
    <w:rsid w:val="0E197DBB"/>
    <w:rsid w:val="0E2970CF"/>
    <w:rsid w:val="0E355A5F"/>
    <w:rsid w:val="0E475979"/>
    <w:rsid w:val="0E516288"/>
    <w:rsid w:val="0EA84305"/>
    <w:rsid w:val="0EAA66D7"/>
    <w:rsid w:val="0ECD4593"/>
    <w:rsid w:val="0ED23EEC"/>
    <w:rsid w:val="0EDE3DCD"/>
    <w:rsid w:val="0F0E0198"/>
    <w:rsid w:val="0F3C4F8C"/>
    <w:rsid w:val="0F432A00"/>
    <w:rsid w:val="0F545EB6"/>
    <w:rsid w:val="0F611949"/>
    <w:rsid w:val="0F721286"/>
    <w:rsid w:val="0F7551A1"/>
    <w:rsid w:val="0F8C1986"/>
    <w:rsid w:val="0FB56B4A"/>
    <w:rsid w:val="0FB64C56"/>
    <w:rsid w:val="0FE33D47"/>
    <w:rsid w:val="107945D9"/>
    <w:rsid w:val="108B556C"/>
    <w:rsid w:val="109079DB"/>
    <w:rsid w:val="109E0FD1"/>
    <w:rsid w:val="10A7261D"/>
    <w:rsid w:val="10AA34CD"/>
    <w:rsid w:val="10AD3F77"/>
    <w:rsid w:val="10B147B9"/>
    <w:rsid w:val="10C45475"/>
    <w:rsid w:val="1128579B"/>
    <w:rsid w:val="112A47B8"/>
    <w:rsid w:val="11447DDB"/>
    <w:rsid w:val="115E178F"/>
    <w:rsid w:val="11755B31"/>
    <w:rsid w:val="11852F84"/>
    <w:rsid w:val="11B21A25"/>
    <w:rsid w:val="11E2187D"/>
    <w:rsid w:val="11EC734B"/>
    <w:rsid w:val="11FC3F78"/>
    <w:rsid w:val="124211F5"/>
    <w:rsid w:val="125C471A"/>
    <w:rsid w:val="12650CBC"/>
    <w:rsid w:val="126F6628"/>
    <w:rsid w:val="127F62CA"/>
    <w:rsid w:val="12827241"/>
    <w:rsid w:val="12943D8A"/>
    <w:rsid w:val="12C15F49"/>
    <w:rsid w:val="12C71FE1"/>
    <w:rsid w:val="12D94892"/>
    <w:rsid w:val="12E5288F"/>
    <w:rsid w:val="132F2E26"/>
    <w:rsid w:val="132F6780"/>
    <w:rsid w:val="13872098"/>
    <w:rsid w:val="138E0B08"/>
    <w:rsid w:val="139F3A72"/>
    <w:rsid w:val="13BA5D6B"/>
    <w:rsid w:val="13BF1404"/>
    <w:rsid w:val="13BF2617"/>
    <w:rsid w:val="13E833B7"/>
    <w:rsid w:val="13EE2247"/>
    <w:rsid w:val="13F54AB7"/>
    <w:rsid w:val="1423421A"/>
    <w:rsid w:val="142A7D8C"/>
    <w:rsid w:val="14305735"/>
    <w:rsid w:val="14333C4E"/>
    <w:rsid w:val="1456747C"/>
    <w:rsid w:val="14631CF3"/>
    <w:rsid w:val="147C16AC"/>
    <w:rsid w:val="1494004D"/>
    <w:rsid w:val="149A0C5C"/>
    <w:rsid w:val="14BB6C12"/>
    <w:rsid w:val="14D41D3A"/>
    <w:rsid w:val="14FA39C1"/>
    <w:rsid w:val="15154D22"/>
    <w:rsid w:val="15190B77"/>
    <w:rsid w:val="15200D24"/>
    <w:rsid w:val="15322CB4"/>
    <w:rsid w:val="15530737"/>
    <w:rsid w:val="15692EBB"/>
    <w:rsid w:val="15767345"/>
    <w:rsid w:val="15971480"/>
    <w:rsid w:val="15977097"/>
    <w:rsid w:val="15AB651B"/>
    <w:rsid w:val="15F17ABE"/>
    <w:rsid w:val="1604242C"/>
    <w:rsid w:val="16057EAE"/>
    <w:rsid w:val="160D2D3C"/>
    <w:rsid w:val="161A7E53"/>
    <w:rsid w:val="161F34C6"/>
    <w:rsid w:val="166C553E"/>
    <w:rsid w:val="16786968"/>
    <w:rsid w:val="167A18C1"/>
    <w:rsid w:val="168453DE"/>
    <w:rsid w:val="16864176"/>
    <w:rsid w:val="16A01BF6"/>
    <w:rsid w:val="16BF154D"/>
    <w:rsid w:val="16D94DCE"/>
    <w:rsid w:val="16DA5378"/>
    <w:rsid w:val="16DB2490"/>
    <w:rsid w:val="170854A5"/>
    <w:rsid w:val="174902F2"/>
    <w:rsid w:val="174F6F43"/>
    <w:rsid w:val="175852DC"/>
    <w:rsid w:val="17592D5E"/>
    <w:rsid w:val="177E6DF4"/>
    <w:rsid w:val="178A7CAA"/>
    <w:rsid w:val="17A025CB"/>
    <w:rsid w:val="17C96895"/>
    <w:rsid w:val="17D96B2F"/>
    <w:rsid w:val="17E567B2"/>
    <w:rsid w:val="18214D25"/>
    <w:rsid w:val="182D717C"/>
    <w:rsid w:val="184B5B6A"/>
    <w:rsid w:val="184E6AEE"/>
    <w:rsid w:val="18701F81"/>
    <w:rsid w:val="187E50BF"/>
    <w:rsid w:val="188B6BDF"/>
    <w:rsid w:val="189F77F2"/>
    <w:rsid w:val="18B94F64"/>
    <w:rsid w:val="18B97133"/>
    <w:rsid w:val="18D238D4"/>
    <w:rsid w:val="18D87AE2"/>
    <w:rsid w:val="18DD0845"/>
    <w:rsid w:val="18EE0BF6"/>
    <w:rsid w:val="18F60201"/>
    <w:rsid w:val="19155232"/>
    <w:rsid w:val="19224548"/>
    <w:rsid w:val="193965F9"/>
    <w:rsid w:val="1965345E"/>
    <w:rsid w:val="19826A42"/>
    <w:rsid w:val="19BC2548"/>
    <w:rsid w:val="19BC4FBA"/>
    <w:rsid w:val="19BF11D7"/>
    <w:rsid w:val="19BF399B"/>
    <w:rsid w:val="19C15306"/>
    <w:rsid w:val="19C739D9"/>
    <w:rsid w:val="19D9021A"/>
    <w:rsid w:val="19F26CE5"/>
    <w:rsid w:val="1A065E3F"/>
    <w:rsid w:val="1A1E7D2F"/>
    <w:rsid w:val="1A245C69"/>
    <w:rsid w:val="1A37660E"/>
    <w:rsid w:val="1A4B323B"/>
    <w:rsid w:val="1A563640"/>
    <w:rsid w:val="1A6F2D71"/>
    <w:rsid w:val="1A722280"/>
    <w:rsid w:val="1A7D4B85"/>
    <w:rsid w:val="1AA61797"/>
    <w:rsid w:val="1AD70716"/>
    <w:rsid w:val="1AE71DF4"/>
    <w:rsid w:val="1B134CF8"/>
    <w:rsid w:val="1B1A19EA"/>
    <w:rsid w:val="1B394F38"/>
    <w:rsid w:val="1B5B2EEE"/>
    <w:rsid w:val="1B73493E"/>
    <w:rsid w:val="1B761519"/>
    <w:rsid w:val="1B816312"/>
    <w:rsid w:val="1B833037"/>
    <w:rsid w:val="1BA00C2F"/>
    <w:rsid w:val="1BA5365F"/>
    <w:rsid w:val="1BEC3AD8"/>
    <w:rsid w:val="1C052319"/>
    <w:rsid w:val="1C091D8D"/>
    <w:rsid w:val="1C2900C3"/>
    <w:rsid w:val="1C4B4D25"/>
    <w:rsid w:val="1C684463"/>
    <w:rsid w:val="1C6D55E5"/>
    <w:rsid w:val="1C756103"/>
    <w:rsid w:val="1C87265B"/>
    <w:rsid w:val="1C956F7B"/>
    <w:rsid w:val="1CA35554"/>
    <w:rsid w:val="1CAE0692"/>
    <w:rsid w:val="1CB61AB9"/>
    <w:rsid w:val="1CBD494F"/>
    <w:rsid w:val="1CBE087B"/>
    <w:rsid w:val="1CCD534E"/>
    <w:rsid w:val="1CE407F6"/>
    <w:rsid w:val="1CF27B0C"/>
    <w:rsid w:val="1D1E1D0B"/>
    <w:rsid w:val="1D365C04"/>
    <w:rsid w:val="1D520E2A"/>
    <w:rsid w:val="1D5752B2"/>
    <w:rsid w:val="1D691254"/>
    <w:rsid w:val="1D6E419B"/>
    <w:rsid w:val="1DA9786C"/>
    <w:rsid w:val="1DB261ED"/>
    <w:rsid w:val="1DB84052"/>
    <w:rsid w:val="1DE24E96"/>
    <w:rsid w:val="1E0C3ADC"/>
    <w:rsid w:val="1E0C7333"/>
    <w:rsid w:val="1E3463C4"/>
    <w:rsid w:val="1E354AED"/>
    <w:rsid w:val="1E3A651C"/>
    <w:rsid w:val="1E7B1B91"/>
    <w:rsid w:val="1E7D7293"/>
    <w:rsid w:val="1E990AA4"/>
    <w:rsid w:val="1EA64137"/>
    <w:rsid w:val="1EAE5864"/>
    <w:rsid w:val="1EDD63B3"/>
    <w:rsid w:val="1EE53AB7"/>
    <w:rsid w:val="1EED3A1D"/>
    <w:rsid w:val="1F1B7F40"/>
    <w:rsid w:val="1F291405"/>
    <w:rsid w:val="1F2F3CE6"/>
    <w:rsid w:val="1F3F2BD4"/>
    <w:rsid w:val="1F6154C2"/>
    <w:rsid w:val="1F61776F"/>
    <w:rsid w:val="1F667909"/>
    <w:rsid w:val="1F770819"/>
    <w:rsid w:val="1FA257B5"/>
    <w:rsid w:val="1FB03206"/>
    <w:rsid w:val="1FB1638B"/>
    <w:rsid w:val="1FCF29CF"/>
    <w:rsid w:val="1FFA7A84"/>
    <w:rsid w:val="2004208A"/>
    <w:rsid w:val="200A5A4E"/>
    <w:rsid w:val="201166C9"/>
    <w:rsid w:val="2043582F"/>
    <w:rsid w:val="20454680"/>
    <w:rsid w:val="20561A3E"/>
    <w:rsid w:val="207B121C"/>
    <w:rsid w:val="20816A63"/>
    <w:rsid w:val="208F5D73"/>
    <w:rsid w:val="20A74E29"/>
    <w:rsid w:val="20D564EE"/>
    <w:rsid w:val="20DF187F"/>
    <w:rsid w:val="20E37A02"/>
    <w:rsid w:val="20EC288F"/>
    <w:rsid w:val="21360DC6"/>
    <w:rsid w:val="213E05E2"/>
    <w:rsid w:val="213F7EEB"/>
    <w:rsid w:val="21452025"/>
    <w:rsid w:val="214D638C"/>
    <w:rsid w:val="21610C20"/>
    <w:rsid w:val="21845E3B"/>
    <w:rsid w:val="218C7AF1"/>
    <w:rsid w:val="21A020DA"/>
    <w:rsid w:val="21B300DA"/>
    <w:rsid w:val="21B54B3E"/>
    <w:rsid w:val="21DC4D38"/>
    <w:rsid w:val="21EB56C0"/>
    <w:rsid w:val="22027E59"/>
    <w:rsid w:val="220A0AE9"/>
    <w:rsid w:val="221200F3"/>
    <w:rsid w:val="223066C2"/>
    <w:rsid w:val="22690B02"/>
    <w:rsid w:val="227E3026"/>
    <w:rsid w:val="22D1722D"/>
    <w:rsid w:val="233A6C5C"/>
    <w:rsid w:val="23906BA4"/>
    <w:rsid w:val="2392443F"/>
    <w:rsid w:val="23B52D23"/>
    <w:rsid w:val="23C2284B"/>
    <w:rsid w:val="23C81D43"/>
    <w:rsid w:val="23D85757"/>
    <w:rsid w:val="23E8491A"/>
    <w:rsid w:val="2412563B"/>
    <w:rsid w:val="24293E79"/>
    <w:rsid w:val="242B73BA"/>
    <w:rsid w:val="247064E9"/>
    <w:rsid w:val="247B294B"/>
    <w:rsid w:val="24AC1531"/>
    <w:rsid w:val="24B27177"/>
    <w:rsid w:val="24CB2E07"/>
    <w:rsid w:val="24D37C77"/>
    <w:rsid w:val="24D50BFC"/>
    <w:rsid w:val="24E21BAB"/>
    <w:rsid w:val="24EF2718"/>
    <w:rsid w:val="24EF583F"/>
    <w:rsid w:val="24F550D6"/>
    <w:rsid w:val="25440C67"/>
    <w:rsid w:val="254C40BE"/>
    <w:rsid w:val="25566E56"/>
    <w:rsid w:val="25606A59"/>
    <w:rsid w:val="2577733B"/>
    <w:rsid w:val="25784560"/>
    <w:rsid w:val="258B75D7"/>
    <w:rsid w:val="258E5E2C"/>
    <w:rsid w:val="259F3EF0"/>
    <w:rsid w:val="25AF266C"/>
    <w:rsid w:val="25D86BF8"/>
    <w:rsid w:val="26003524"/>
    <w:rsid w:val="261A3CBF"/>
    <w:rsid w:val="266E0D1D"/>
    <w:rsid w:val="267A6D2E"/>
    <w:rsid w:val="267B47B0"/>
    <w:rsid w:val="267F4F21"/>
    <w:rsid w:val="269C55D5"/>
    <w:rsid w:val="269E60B0"/>
    <w:rsid w:val="26A60379"/>
    <w:rsid w:val="26D20966"/>
    <w:rsid w:val="26D32E30"/>
    <w:rsid w:val="26EF3957"/>
    <w:rsid w:val="26FA65CF"/>
    <w:rsid w:val="273F3EA1"/>
    <w:rsid w:val="276756B2"/>
    <w:rsid w:val="276C144B"/>
    <w:rsid w:val="276D2E3E"/>
    <w:rsid w:val="2776698F"/>
    <w:rsid w:val="277E52D7"/>
    <w:rsid w:val="27DF4D92"/>
    <w:rsid w:val="28122456"/>
    <w:rsid w:val="2814202B"/>
    <w:rsid w:val="2852616E"/>
    <w:rsid w:val="28826F4E"/>
    <w:rsid w:val="28C005D1"/>
    <w:rsid w:val="28DC5D2F"/>
    <w:rsid w:val="293D46F6"/>
    <w:rsid w:val="293E30BA"/>
    <w:rsid w:val="294556F3"/>
    <w:rsid w:val="29576E8D"/>
    <w:rsid w:val="29662AB4"/>
    <w:rsid w:val="2977048C"/>
    <w:rsid w:val="298F0323"/>
    <w:rsid w:val="299D04A1"/>
    <w:rsid w:val="29D5322D"/>
    <w:rsid w:val="29F66FE5"/>
    <w:rsid w:val="2A086006"/>
    <w:rsid w:val="2A421663"/>
    <w:rsid w:val="2AC86208"/>
    <w:rsid w:val="2AD15A4E"/>
    <w:rsid w:val="2B3E40B4"/>
    <w:rsid w:val="2B481AFE"/>
    <w:rsid w:val="2B540C31"/>
    <w:rsid w:val="2B5D7831"/>
    <w:rsid w:val="2B683643"/>
    <w:rsid w:val="2B6D3CE1"/>
    <w:rsid w:val="2B7355B1"/>
    <w:rsid w:val="2B971F94"/>
    <w:rsid w:val="2BB06266"/>
    <w:rsid w:val="2BD6463A"/>
    <w:rsid w:val="2BE011C9"/>
    <w:rsid w:val="2BEC24DB"/>
    <w:rsid w:val="2BF557E4"/>
    <w:rsid w:val="2C0D4842"/>
    <w:rsid w:val="2C0E2ED8"/>
    <w:rsid w:val="2C2C11B4"/>
    <w:rsid w:val="2C2F33A0"/>
    <w:rsid w:val="2C351E0C"/>
    <w:rsid w:val="2C482CB1"/>
    <w:rsid w:val="2C5E0758"/>
    <w:rsid w:val="2C722F30"/>
    <w:rsid w:val="2C83343B"/>
    <w:rsid w:val="2C862B73"/>
    <w:rsid w:val="2C882884"/>
    <w:rsid w:val="2C9762B4"/>
    <w:rsid w:val="2C991355"/>
    <w:rsid w:val="2CA46042"/>
    <w:rsid w:val="2CD64E9F"/>
    <w:rsid w:val="2CE03377"/>
    <w:rsid w:val="2CEA709A"/>
    <w:rsid w:val="2D1338F3"/>
    <w:rsid w:val="2D3C65BD"/>
    <w:rsid w:val="2D6F0538"/>
    <w:rsid w:val="2D726F1C"/>
    <w:rsid w:val="2D9F4891"/>
    <w:rsid w:val="2DA4463B"/>
    <w:rsid w:val="2DA90E8C"/>
    <w:rsid w:val="2DC81EA9"/>
    <w:rsid w:val="2DDA46A3"/>
    <w:rsid w:val="2DDF17C3"/>
    <w:rsid w:val="2DF0512B"/>
    <w:rsid w:val="2E1113A3"/>
    <w:rsid w:val="2E1754AB"/>
    <w:rsid w:val="2E1B619F"/>
    <w:rsid w:val="2E3868E1"/>
    <w:rsid w:val="2E4865B6"/>
    <w:rsid w:val="2E501DCC"/>
    <w:rsid w:val="2E674F27"/>
    <w:rsid w:val="2E69350D"/>
    <w:rsid w:val="2E7B2FD1"/>
    <w:rsid w:val="2EA0410A"/>
    <w:rsid w:val="2EC22849"/>
    <w:rsid w:val="2ECD4921"/>
    <w:rsid w:val="2EFB6329"/>
    <w:rsid w:val="2F0401BB"/>
    <w:rsid w:val="2F262738"/>
    <w:rsid w:val="2F2730EA"/>
    <w:rsid w:val="2F2C2DF5"/>
    <w:rsid w:val="2F3D528D"/>
    <w:rsid w:val="2F6760D2"/>
    <w:rsid w:val="2F896E7C"/>
    <w:rsid w:val="2F9C7D1A"/>
    <w:rsid w:val="2F9E416C"/>
    <w:rsid w:val="2FA26A1A"/>
    <w:rsid w:val="2FAC4ADB"/>
    <w:rsid w:val="2FAD0DC5"/>
    <w:rsid w:val="2FCC5E11"/>
    <w:rsid w:val="2FE97F07"/>
    <w:rsid w:val="2FF31563"/>
    <w:rsid w:val="302753D5"/>
    <w:rsid w:val="302A377B"/>
    <w:rsid w:val="30442F65"/>
    <w:rsid w:val="307D149D"/>
    <w:rsid w:val="30B07BB9"/>
    <w:rsid w:val="30BB16B8"/>
    <w:rsid w:val="30CD3969"/>
    <w:rsid w:val="31380F82"/>
    <w:rsid w:val="316E5059"/>
    <w:rsid w:val="316F7FC5"/>
    <w:rsid w:val="317725F7"/>
    <w:rsid w:val="3189434F"/>
    <w:rsid w:val="319F477D"/>
    <w:rsid w:val="31B8211E"/>
    <w:rsid w:val="31C0752B"/>
    <w:rsid w:val="31E806EF"/>
    <w:rsid w:val="31FD2C13"/>
    <w:rsid w:val="31FD4E11"/>
    <w:rsid w:val="31FE69A1"/>
    <w:rsid w:val="31FF6116"/>
    <w:rsid w:val="3201709B"/>
    <w:rsid w:val="3205419A"/>
    <w:rsid w:val="32067C9F"/>
    <w:rsid w:val="3244724D"/>
    <w:rsid w:val="3248332A"/>
    <w:rsid w:val="32491C1C"/>
    <w:rsid w:val="326822C2"/>
    <w:rsid w:val="326C2D4A"/>
    <w:rsid w:val="32771829"/>
    <w:rsid w:val="327A5236"/>
    <w:rsid w:val="32861DCE"/>
    <w:rsid w:val="32E5510F"/>
    <w:rsid w:val="32EF3FA3"/>
    <w:rsid w:val="32EF7C1D"/>
    <w:rsid w:val="33141B97"/>
    <w:rsid w:val="331C56F3"/>
    <w:rsid w:val="331D490C"/>
    <w:rsid w:val="33204EB2"/>
    <w:rsid w:val="33292962"/>
    <w:rsid w:val="332B7811"/>
    <w:rsid w:val="332D0D86"/>
    <w:rsid w:val="334A1CBF"/>
    <w:rsid w:val="334B2535"/>
    <w:rsid w:val="3376291B"/>
    <w:rsid w:val="338F1D24"/>
    <w:rsid w:val="3392480B"/>
    <w:rsid w:val="3393406A"/>
    <w:rsid w:val="33A928CE"/>
    <w:rsid w:val="33AA63B6"/>
    <w:rsid w:val="33CE21B1"/>
    <w:rsid w:val="33EF3043"/>
    <w:rsid w:val="34037AE5"/>
    <w:rsid w:val="340F1379"/>
    <w:rsid w:val="344937F8"/>
    <w:rsid w:val="344C4421"/>
    <w:rsid w:val="345A5FB5"/>
    <w:rsid w:val="34756B1F"/>
    <w:rsid w:val="34841DE6"/>
    <w:rsid w:val="34872574"/>
    <w:rsid w:val="349E2898"/>
    <w:rsid w:val="34A8295B"/>
    <w:rsid w:val="34B00851"/>
    <w:rsid w:val="34BF2E1A"/>
    <w:rsid w:val="34C26C1E"/>
    <w:rsid w:val="34EF2A0C"/>
    <w:rsid w:val="352743C4"/>
    <w:rsid w:val="35393B18"/>
    <w:rsid w:val="353B3065"/>
    <w:rsid w:val="35837BDD"/>
    <w:rsid w:val="35946CD0"/>
    <w:rsid w:val="359B4758"/>
    <w:rsid w:val="35A1355F"/>
    <w:rsid w:val="35B439A1"/>
    <w:rsid w:val="35BA13B5"/>
    <w:rsid w:val="35C50588"/>
    <w:rsid w:val="35E86141"/>
    <w:rsid w:val="35F749DF"/>
    <w:rsid w:val="362972C0"/>
    <w:rsid w:val="362F263F"/>
    <w:rsid w:val="363D61DC"/>
    <w:rsid w:val="36863F80"/>
    <w:rsid w:val="36BB7DC1"/>
    <w:rsid w:val="36BF53DF"/>
    <w:rsid w:val="36C37669"/>
    <w:rsid w:val="36D07E23"/>
    <w:rsid w:val="36D92233"/>
    <w:rsid w:val="36DA00B4"/>
    <w:rsid w:val="36DD1FAD"/>
    <w:rsid w:val="370E09E1"/>
    <w:rsid w:val="37134E69"/>
    <w:rsid w:val="3730275D"/>
    <w:rsid w:val="376272BF"/>
    <w:rsid w:val="379B6047"/>
    <w:rsid w:val="379E2351"/>
    <w:rsid w:val="37A57C5B"/>
    <w:rsid w:val="37AB3D80"/>
    <w:rsid w:val="37B4423B"/>
    <w:rsid w:val="37C013BE"/>
    <w:rsid w:val="37CC485C"/>
    <w:rsid w:val="37D60561"/>
    <w:rsid w:val="383C6DF3"/>
    <w:rsid w:val="386873A4"/>
    <w:rsid w:val="386E4E5E"/>
    <w:rsid w:val="38BC19A2"/>
    <w:rsid w:val="38D459D1"/>
    <w:rsid w:val="38EA5BA6"/>
    <w:rsid w:val="38F44DEE"/>
    <w:rsid w:val="39327187"/>
    <w:rsid w:val="39356477"/>
    <w:rsid w:val="393F1F7B"/>
    <w:rsid w:val="394F02CB"/>
    <w:rsid w:val="394F6992"/>
    <w:rsid w:val="395E11AB"/>
    <w:rsid w:val="399D4513"/>
    <w:rsid w:val="39B5458C"/>
    <w:rsid w:val="39C82DD9"/>
    <w:rsid w:val="39FD3D7E"/>
    <w:rsid w:val="3A216CEA"/>
    <w:rsid w:val="3A234172"/>
    <w:rsid w:val="3A406597"/>
    <w:rsid w:val="3A5175C4"/>
    <w:rsid w:val="3A6D470D"/>
    <w:rsid w:val="3A7A7A2C"/>
    <w:rsid w:val="3ACE0108"/>
    <w:rsid w:val="3AE02AC5"/>
    <w:rsid w:val="3B054ECB"/>
    <w:rsid w:val="3B323A7A"/>
    <w:rsid w:val="3B4413CB"/>
    <w:rsid w:val="3B7A3D70"/>
    <w:rsid w:val="3BA5016B"/>
    <w:rsid w:val="3BC85309"/>
    <w:rsid w:val="3BCC3D0B"/>
    <w:rsid w:val="3BD258DE"/>
    <w:rsid w:val="3BF409E9"/>
    <w:rsid w:val="3C0B44F4"/>
    <w:rsid w:val="3C3605B2"/>
    <w:rsid w:val="3C69659E"/>
    <w:rsid w:val="3C697EA9"/>
    <w:rsid w:val="3C9568F7"/>
    <w:rsid w:val="3C9A60A7"/>
    <w:rsid w:val="3CDD1D4D"/>
    <w:rsid w:val="3D0141F1"/>
    <w:rsid w:val="3D363C36"/>
    <w:rsid w:val="3D547325"/>
    <w:rsid w:val="3D5957E9"/>
    <w:rsid w:val="3D6A54CD"/>
    <w:rsid w:val="3D7E666E"/>
    <w:rsid w:val="3DC13174"/>
    <w:rsid w:val="3DEC0BB3"/>
    <w:rsid w:val="3DF833FD"/>
    <w:rsid w:val="3DFD3B43"/>
    <w:rsid w:val="3E053379"/>
    <w:rsid w:val="3E0764F2"/>
    <w:rsid w:val="3E355E9B"/>
    <w:rsid w:val="3E510FBE"/>
    <w:rsid w:val="3E570BA9"/>
    <w:rsid w:val="3E6447EC"/>
    <w:rsid w:val="3E684981"/>
    <w:rsid w:val="3E772687"/>
    <w:rsid w:val="3E7C69A0"/>
    <w:rsid w:val="3E860228"/>
    <w:rsid w:val="3E9369E9"/>
    <w:rsid w:val="3E9F6AD0"/>
    <w:rsid w:val="3EBA7E64"/>
    <w:rsid w:val="3EC30088"/>
    <w:rsid w:val="3ED54CEB"/>
    <w:rsid w:val="3EDC792D"/>
    <w:rsid w:val="3EE3710F"/>
    <w:rsid w:val="3EE4222C"/>
    <w:rsid w:val="3EE47C0C"/>
    <w:rsid w:val="3F1C4E43"/>
    <w:rsid w:val="3F1E169C"/>
    <w:rsid w:val="3F2102B8"/>
    <w:rsid w:val="3F246E28"/>
    <w:rsid w:val="3F3D66CD"/>
    <w:rsid w:val="3F406FEE"/>
    <w:rsid w:val="3F45735D"/>
    <w:rsid w:val="3F4F373E"/>
    <w:rsid w:val="3F7829EA"/>
    <w:rsid w:val="3F7B09E4"/>
    <w:rsid w:val="3F815EBD"/>
    <w:rsid w:val="3FE171DB"/>
    <w:rsid w:val="3FE87277"/>
    <w:rsid w:val="400D4829"/>
    <w:rsid w:val="401437D5"/>
    <w:rsid w:val="40277950"/>
    <w:rsid w:val="4053216A"/>
    <w:rsid w:val="40554F9C"/>
    <w:rsid w:val="4077473D"/>
    <w:rsid w:val="407F26EE"/>
    <w:rsid w:val="408F6997"/>
    <w:rsid w:val="40C120CD"/>
    <w:rsid w:val="40D754E0"/>
    <w:rsid w:val="40E86709"/>
    <w:rsid w:val="40EF58BE"/>
    <w:rsid w:val="40F66D88"/>
    <w:rsid w:val="410F49D4"/>
    <w:rsid w:val="4111534F"/>
    <w:rsid w:val="411C708D"/>
    <w:rsid w:val="41205969"/>
    <w:rsid w:val="41384B2E"/>
    <w:rsid w:val="413B3F95"/>
    <w:rsid w:val="41911120"/>
    <w:rsid w:val="41970E2B"/>
    <w:rsid w:val="41A767A3"/>
    <w:rsid w:val="41A96FE4"/>
    <w:rsid w:val="41E03BAA"/>
    <w:rsid w:val="41E80F3B"/>
    <w:rsid w:val="42312C1E"/>
    <w:rsid w:val="42435353"/>
    <w:rsid w:val="42492E4D"/>
    <w:rsid w:val="425C406C"/>
    <w:rsid w:val="42696553"/>
    <w:rsid w:val="4282551A"/>
    <w:rsid w:val="42A96B9B"/>
    <w:rsid w:val="42BA60D9"/>
    <w:rsid w:val="42E4644B"/>
    <w:rsid w:val="42ED6416"/>
    <w:rsid w:val="42F21FE1"/>
    <w:rsid w:val="43056A83"/>
    <w:rsid w:val="431F711A"/>
    <w:rsid w:val="43240950"/>
    <w:rsid w:val="433E4728"/>
    <w:rsid w:val="43546802"/>
    <w:rsid w:val="43916667"/>
    <w:rsid w:val="4392796C"/>
    <w:rsid w:val="43B64466"/>
    <w:rsid w:val="43CB0F87"/>
    <w:rsid w:val="43F95B4A"/>
    <w:rsid w:val="440508B2"/>
    <w:rsid w:val="44050BA5"/>
    <w:rsid w:val="440A5C67"/>
    <w:rsid w:val="4430774D"/>
    <w:rsid w:val="444E229E"/>
    <w:rsid w:val="445D35F9"/>
    <w:rsid w:val="44633262"/>
    <w:rsid w:val="44845850"/>
    <w:rsid w:val="44B06ABF"/>
    <w:rsid w:val="44BA0B25"/>
    <w:rsid w:val="452E259C"/>
    <w:rsid w:val="454A0F85"/>
    <w:rsid w:val="4556724D"/>
    <w:rsid w:val="455C6BD8"/>
    <w:rsid w:val="457B4BA8"/>
    <w:rsid w:val="458661B6"/>
    <w:rsid w:val="458A34FF"/>
    <w:rsid w:val="45932E73"/>
    <w:rsid w:val="459C79C1"/>
    <w:rsid w:val="45A75D52"/>
    <w:rsid w:val="45C2437E"/>
    <w:rsid w:val="45C3064B"/>
    <w:rsid w:val="45EB6847"/>
    <w:rsid w:val="45F33C53"/>
    <w:rsid w:val="460E5854"/>
    <w:rsid w:val="46330590"/>
    <w:rsid w:val="46454957"/>
    <w:rsid w:val="4649335D"/>
    <w:rsid w:val="464B6860"/>
    <w:rsid w:val="464F03B0"/>
    <w:rsid w:val="46560CFD"/>
    <w:rsid w:val="46596E7B"/>
    <w:rsid w:val="46676190"/>
    <w:rsid w:val="46693AFD"/>
    <w:rsid w:val="46C4054A"/>
    <w:rsid w:val="46D90F38"/>
    <w:rsid w:val="46FE00F8"/>
    <w:rsid w:val="470D79CF"/>
    <w:rsid w:val="47562215"/>
    <w:rsid w:val="475843C9"/>
    <w:rsid w:val="475E2707"/>
    <w:rsid w:val="479A7984"/>
    <w:rsid w:val="47BA7D3C"/>
    <w:rsid w:val="47D1193E"/>
    <w:rsid w:val="47DE6C76"/>
    <w:rsid w:val="47F266F3"/>
    <w:rsid w:val="47FF71AB"/>
    <w:rsid w:val="47FF7577"/>
    <w:rsid w:val="48146866"/>
    <w:rsid w:val="485559BC"/>
    <w:rsid w:val="48686BDB"/>
    <w:rsid w:val="48742081"/>
    <w:rsid w:val="48970623"/>
    <w:rsid w:val="48BC6FB3"/>
    <w:rsid w:val="49272491"/>
    <w:rsid w:val="492A6C99"/>
    <w:rsid w:val="49316623"/>
    <w:rsid w:val="4938670B"/>
    <w:rsid w:val="49470F79"/>
    <w:rsid w:val="4984282A"/>
    <w:rsid w:val="498E1B55"/>
    <w:rsid w:val="49CC161B"/>
    <w:rsid w:val="49FA3AEE"/>
    <w:rsid w:val="49FB156F"/>
    <w:rsid w:val="49FC7C15"/>
    <w:rsid w:val="4A004F1E"/>
    <w:rsid w:val="4A0C38BB"/>
    <w:rsid w:val="4A273284"/>
    <w:rsid w:val="4A3B4557"/>
    <w:rsid w:val="4A4E3578"/>
    <w:rsid w:val="4A6F5741"/>
    <w:rsid w:val="4A7326DF"/>
    <w:rsid w:val="4A7A78BF"/>
    <w:rsid w:val="4B1F4CBF"/>
    <w:rsid w:val="4B2422D7"/>
    <w:rsid w:val="4B583B88"/>
    <w:rsid w:val="4B722056"/>
    <w:rsid w:val="4B7B4D97"/>
    <w:rsid w:val="4B7D3C6A"/>
    <w:rsid w:val="4B810772"/>
    <w:rsid w:val="4B9B5188"/>
    <w:rsid w:val="4BA11917"/>
    <w:rsid w:val="4BA51FC9"/>
    <w:rsid w:val="4BBB5CCD"/>
    <w:rsid w:val="4BBE0E50"/>
    <w:rsid w:val="4BDD04C2"/>
    <w:rsid w:val="4BF94544"/>
    <w:rsid w:val="4C0512E3"/>
    <w:rsid w:val="4C1E2538"/>
    <w:rsid w:val="4C2669DD"/>
    <w:rsid w:val="4C3C31EC"/>
    <w:rsid w:val="4C6406E4"/>
    <w:rsid w:val="4C745FC7"/>
    <w:rsid w:val="4CDD76CE"/>
    <w:rsid w:val="4D000563"/>
    <w:rsid w:val="4D18551B"/>
    <w:rsid w:val="4D3919C1"/>
    <w:rsid w:val="4D481B07"/>
    <w:rsid w:val="4D535D13"/>
    <w:rsid w:val="4D7814A6"/>
    <w:rsid w:val="4D907065"/>
    <w:rsid w:val="4DA457ED"/>
    <w:rsid w:val="4DB740C0"/>
    <w:rsid w:val="4DC73250"/>
    <w:rsid w:val="4DE566F3"/>
    <w:rsid w:val="4DE80860"/>
    <w:rsid w:val="4DF11170"/>
    <w:rsid w:val="4E376061"/>
    <w:rsid w:val="4E396780"/>
    <w:rsid w:val="4E5204BB"/>
    <w:rsid w:val="4E570B14"/>
    <w:rsid w:val="4E6C448B"/>
    <w:rsid w:val="4E9718FE"/>
    <w:rsid w:val="4EB621B3"/>
    <w:rsid w:val="4EBA0EB0"/>
    <w:rsid w:val="4EC51148"/>
    <w:rsid w:val="4EE16549"/>
    <w:rsid w:val="4EE205E9"/>
    <w:rsid w:val="4EF379EC"/>
    <w:rsid w:val="4EF873B3"/>
    <w:rsid w:val="4F021BCA"/>
    <w:rsid w:val="4F1229F0"/>
    <w:rsid w:val="4F286AD1"/>
    <w:rsid w:val="4F2C1DF1"/>
    <w:rsid w:val="4F414B44"/>
    <w:rsid w:val="4F655C11"/>
    <w:rsid w:val="4F7B53F3"/>
    <w:rsid w:val="4F8A5A0E"/>
    <w:rsid w:val="4F9B059D"/>
    <w:rsid w:val="4FAF3DB5"/>
    <w:rsid w:val="4FBB3F6A"/>
    <w:rsid w:val="4FE95A27"/>
    <w:rsid w:val="4FEB093B"/>
    <w:rsid w:val="500271CE"/>
    <w:rsid w:val="500D1D5E"/>
    <w:rsid w:val="503B1FAE"/>
    <w:rsid w:val="50406436"/>
    <w:rsid w:val="50837062"/>
    <w:rsid w:val="50863203"/>
    <w:rsid w:val="508D6FF0"/>
    <w:rsid w:val="50AC248D"/>
    <w:rsid w:val="50C11611"/>
    <w:rsid w:val="50C22890"/>
    <w:rsid w:val="50CA79A7"/>
    <w:rsid w:val="510A0355"/>
    <w:rsid w:val="511B2921"/>
    <w:rsid w:val="513574CC"/>
    <w:rsid w:val="513C4DB7"/>
    <w:rsid w:val="51562339"/>
    <w:rsid w:val="51B506CA"/>
    <w:rsid w:val="51B56D5C"/>
    <w:rsid w:val="51DF5EE2"/>
    <w:rsid w:val="51E4236A"/>
    <w:rsid w:val="51E768B4"/>
    <w:rsid w:val="521D570A"/>
    <w:rsid w:val="522060CE"/>
    <w:rsid w:val="524B3013"/>
    <w:rsid w:val="524C0A95"/>
    <w:rsid w:val="52514F1D"/>
    <w:rsid w:val="526925C3"/>
    <w:rsid w:val="527A194B"/>
    <w:rsid w:val="52830D1C"/>
    <w:rsid w:val="52836E94"/>
    <w:rsid w:val="52863CC5"/>
    <w:rsid w:val="52AE52B6"/>
    <w:rsid w:val="531B1FA6"/>
    <w:rsid w:val="53256357"/>
    <w:rsid w:val="532B0103"/>
    <w:rsid w:val="532B469A"/>
    <w:rsid w:val="533F218C"/>
    <w:rsid w:val="53482943"/>
    <w:rsid w:val="5361642E"/>
    <w:rsid w:val="537B1187"/>
    <w:rsid w:val="537C6C08"/>
    <w:rsid w:val="537E1893"/>
    <w:rsid w:val="538B39A0"/>
    <w:rsid w:val="53C9135E"/>
    <w:rsid w:val="53EE5C42"/>
    <w:rsid w:val="53F2152E"/>
    <w:rsid w:val="540974DB"/>
    <w:rsid w:val="54171005"/>
    <w:rsid w:val="545E4E9F"/>
    <w:rsid w:val="54660D84"/>
    <w:rsid w:val="548D5469"/>
    <w:rsid w:val="54B215A2"/>
    <w:rsid w:val="54BD0B17"/>
    <w:rsid w:val="54C733D0"/>
    <w:rsid w:val="54C9003B"/>
    <w:rsid w:val="551121E9"/>
    <w:rsid w:val="55145A25"/>
    <w:rsid w:val="552846C5"/>
    <w:rsid w:val="556E7738"/>
    <w:rsid w:val="5578348A"/>
    <w:rsid w:val="55826059"/>
    <w:rsid w:val="55EB160A"/>
    <w:rsid w:val="55EC7C86"/>
    <w:rsid w:val="55F96F9C"/>
    <w:rsid w:val="562410EA"/>
    <w:rsid w:val="56412C14"/>
    <w:rsid w:val="567F746C"/>
    <w:rsid w:val="56A62938"/>
    <w:rsid w:val="56AD7D44"/>
    <w:rsid w:val="56B01D26"/>
    <w:rsid w:val="56B6734F"/>
    <w:rsid w:val="56C06942"/>
    <w:rsid w:val="57345642"/>
    <w:rsid w:val="57373E9F"/>
    <w:rsid w:val="573D5394"/>
    <w:rsid w:val="578053C5"/>
    <w:rsid w:val="57AC461C"/>
    <w:rsid w:val="57B90E17"/>
    <w:rsid w:val="57BC687D"/>
    <w:rsid w:val="57F4157E"/>
    <w:rsid w:val="57F731DF"/>
    <w:rsid w:val="580E0C05"/>
    <w:rsid w:val="586921CD"/>
    <w:rsid w:val="587A53F0"/>
    <w:rsid w:val="589A65CB"/>
    <w:rsid w:val="589E7BDC"/>
    <w:rsid w:val="58A85581"/>
    <w:rsid w:val="58BB67A0"/>
    <w:rsid w:val="58DB0380"/>
    <w:rsid w:val="58E340E1"/>
    <w:rsid w:val="58E35C5E"/>
    <w:rsid w:val="591B3341"/>
    <w:rsid w:val="593711B5"/>
    <w:rsid w:val="596646BA"/>
    <w:rsid w:val="598F587E"/>
    <w:rsid w:val="59A06EA6"/>
    <w:rsid w:val="59B5288A"/>
    <w:rsid w:val="59EF4E52"/>
    <w:rsid w:val="5A365043"/>
    <w:rsid w:val="5A366AB1"/>
    <w:rsid w:val="5A4620CF"/>
    <w:rsid w:val="5A4675AB"/>
    <w:rsid w:val="5A4E49B8"/>
    <w:rsid w:val="5A62713A"/>
    <w:rsid w:val="5A8E0113"/>
    <w:rsid w:val="5ABF5881"/>
    <w:rsid w:val="5ACB31E8"/>
    <w:rsid w:val="5ACC29A8"/>
    <w:rsid w:val="5B263114"/>
    <w:rsid w:val="5B290ACE"/>
    <w:rsid w:val="5B3C3373"/>
    <w:rsid w:val="5B5E5C3A"/>
    <w:rsid w:val="5B6C2BA5"/>
    <w:rsid w:val="5B767C9D"/>
    <w:rsid w:val="5BDE63C8"/>
    <w:rsid w:val="5BED0BE1"/>
    <w:rsid w:val="5C214340"/>
    <w:rsid w:val="5C232AD7"/>
    <w:rsid w:val="5C24407F"/>
    <w:rsid w:val="5C633F23"/>
    <w:rsid w:val="5C767379"/>
    <w:rsid w:val="5C9A1694"/>
    <w:rsid w:val="5C9D1FFE"/>
    <w:rsid w:val="5CB31321"/>
    <w:rsid w:val="5CB9728D"/>
    <w:rsid w:val="5CDD3DFA"/>
    <w:rsid w:val="5CEB05F5"/>
    <w:rsid w:val="5D1309C3"/>
    <w:rsid w:val="5D1B56E3"/>
    <w:rsid w:val="5D320BE3"/>
    <w:rsid w:val="5D383B05"/>
    <w:rsid w:val="5D457D3B"/>
    <w:rsid w:val="5D5B6EE1"/>
    <w:rsid w:val="5D77597D"/>
    <w:rsid w:val="5D9E51B4"/>
    <w:rsid w:val="5DAB1E3B"/>
    <w:rsid w:val="5DE27D97"/>
    <w:rsid w:val="5DE32DF8"/>
    <w:rsid w:val="5E0D49E4"/>
    <w:rsid w:val="5E316028"/>
    <w:rsid w:val="5E396DB8"/>
    <w:rsid w:val="5E5346CA"/>
    <w:rsid w:val="5E5B0337"/>
    <w:rsid w:val="5E77028A"/>
    <w:rsid w:val="5E926F05"/>
    <w:rsid w:val="5EA0144F"/>
    <w:rsid w:val="5ED757D2"/>
    <w:rsid w:val="5EF37F06"/>
    <w:rsid w:val="5F1A43B3"/>
    <w:rsid w:val="5F5778F8"/>
    <w:rsid w:val="5F7C7B38"/>
    <w:rsid w:val="5F9E5AEE"/>
    <w:rsid w:val="5FF06B13"/>
    <w:rsid w:val="60122DB6"/>
    <w:rsid w:val="602C5F3C"/>
    <w:rsid w:val="604D285B"/>
    <w:rsid w:val="60703E0A"/>
    <w:rsid w:val="607373E6"/>
    <w:rsid w:val="609355AC"/>
    <w:rsid w:val="60BD3E33"/>
    <w:rsid w:val="60CF450F"/>
    <w:rsid w:val="61063C42"/>
    <w:rsid w:val="61255936"/>
    <w:rsid w:val="61407419"/>
    <w:rsid w:val="616C715B"/>
    <w:rsid w:val="61AB234B"/>
    <w:rsid w:val="61B74BF9"/>
    <w:rsid w:val="61C636F6"/>
    <w:rsid w:val="624830E1"/>
    <w:rsid w:val="62483940"/>
    <w:rsid w:val="624F3201"/>
    <w:rsid w:val="62711A72"/>
    <w:rsid w:val="62D068AA"/>
    <w:rsid w:val="62F2726A"/>
    <w:rsid w:val="631065D6"/>
    <w:rsid w:val="63123773"/>
    <w:rsid w:val="633E6EDE"/>
    <w:rsid w:val="635773AE"/>
    <w:rsid w:val="635A72FA"/>
    <w:rsid w:val="635C0FBF"/>
    <w:rsid w:val="63621403"/>
    <w:rsid w:val="637F0FCD"/>
    <w:rsid w:val="63950CC3"/>
    <w:rsid w:val="63C329BB"/>
    <w:rsid w:val="63E776F7"/>
    <w:rsid w:val="640B5307"/>
    <w:rsid w:val="642671DC"/>
    <w:rsid w:val="642829CE"/>
    <w:rsid w:val="64443A2B"/>
    <w:rsid w:val="64472F94"/>
    <w:rsid w:val="64892076"/>
    <w:rsid w:val="64960795"/>
    <w:rsid w:val="64B81FCE"/>
    <w:rsid w:val="64B8674B"/>
    <w:rsid w:val="64BC5151"/>
    <w:rsid w:val="64C063AA"/>
    <w:rsid w:val="651D7D50"/>
    <w:rsid w:val="654A5B17"/>
    <w:rsid w:val="656639C5"/>
    <w:rsid w:val="657171FE"/>
    <w:rsid w:val="65952902"/>
    <w:rsid w:val="65AE68A8"/>
    <w:rsid w:val="65B65D83"/>
    <w:rsid w:val="65CF567E"/>
    <w:rsid w:val="65FF4F16"/>
    <w:rsid w:val="66377EC1"/>
    <w:rsid w:val="66783DD6"/>
    <w:rsid w:val="668C0424"/>
    <w:rsid w:val="668C53CC"/>
    <w:rsid w:val="669127FD"/>
    <w:rsid w:val="66A650D9"/>
    <w:rsid w:val="66F35DA4"/>
    <w:rsid w:val="67076A26"/>
    <w:rsid w:val="671230A7"/>
    <w:rsid w:val="67181073"/>
    <w:rsid w:val="671E4009"/>
    <w:rsid w:val="67221143"/>
    <w:rsid w:val="67297A19"/>
    <w:rsid w:val="674B553F"/>
    <w:rsid w:val="67597995"/>
    <w:rsid w:val="67926FF0"/>
    <w:rsid w:val="67AC248B"/>
    <w:rsid w:val="67CB02D7"/>
    <w:rsid w:val="67DF4D79"/>
    <w:rsid w:val="67E31201"/>
    <w:rsid w:val="67F35C18"/>
    <w:rsid w:val="68122C4A"/>
    <w:rsid w:val="683A1C95"/>
    <w:rsid w:val="685459A6"/>
    <w:rsid w:val="686F7662"/>
    <w:rsid w:val="68752CEE"/>
    <w:rsid w:val="68A634BD"/>
    <w:rsid w:val="68A97CC5"/>
    <w:rsid w:val="68B150D2"/>
    <w:rsid w:val="68B305D5"/>
    <w:rsid w:val="68F373C3"/>
    <w:rsid w:val="69060AC5"/>
    <w:rsid w:val="69286015"/>
    <w:rsid w:val="69486530"/>
    <w:rsid w:val="69665AFA"/>
    <w:rsid w:val="696F420B"/>
    <w:rsid w:val="69774689"/>
    <w:rsid w:val="698E123D"/>
    <w:rsid w:val="69995BCF"/>
    <w:rsid w:val="699D5FD4"/>
    <w:rsid w:val="69BF0D02"/>
    <w:rsid w:val="69DF7D42"/>
    <w:rsid w:val="69E66A57"/>
    <w:rsid w:val="69F97469"/>
    <w:rsid w:val="69FD4F44"/>
    <w:rsid w:val="6A0546FF"/>
    <w:rsid w:val="6A0B4BDE"/>
    <w:rsid w:val="6A10440C"/>
    <w:rsid w:val="6A155D81"/>
    <w:rsid w:val="6A34212F"/>
    <w:rsid w:val="6A401060"/>
    <w:rsid w:val="6A444B12"/>
    <w:rsid w:val="6A8E3092"/>
    <w:rsid w:val="6AA1116F"/>
    <w:rsid w:val="6AD97A34"/>
    <w:rsid w:val="6AF9048F"/>
    <w:rsid w:val="6B017DF7"/>
    <w:rsid w:val="6B281189"/>
    <w:rsid w:val="6B3C7E0E"/>
    <w:rsid w:val="6B402E01"/>
    <w:rsid w:val="6B557885"/>
    <w:rsid w:val="6B5C7FEE"/>
    <w:rsid w:val="6B6A4619"/>
    <w:rsid w:val="6B6C4F4A"/>
    <w:rsid w:val="6B7B2FE6"/>
    <w:rsid w:val="6B7B5658"/>
    <w:rsid w:val="6BA14120"/>
    <w:rsid w:val="6BB701B8"/>
    <w:rsid w:val="6BCD32E5"/>
    <w:rsid w:val="6BCE52C3"/>
    <w:rsid w:val="6BD833D5"/>
    <w:rsid w:val="6BDA34E1"/>
    <w:rsid w:val="6BE62696"/>
    <w:rsid w:val="6BEC7A20"/>
    <w:rsid w:val="6BF40116"/>
    <w:rsid w:val="6C0363E4"/>
    <w:rsid w:val="6C1A30A6"/>
    <w:rsid w:val="6C290B81"/>
    <w:rsid w:val="6C2A2E66"/>
    <w:rsid w:val="6C2B0205"/>
    <w:rsid w:val="6C3A2120"/>
    <w:rsid w:val="6C3F2D24"/>
    <w:rsid w:val="6C665F05"/>
    <w:rsid w:val="6C7557DE"/>
    <w:rsid w:val="6C7D608C"/>
    <w:rsid w:val="6CB41F7C"/>
    <w:rsid w:val="6CC54282"/>
    <w:rsid w:val="6CFB475C"/>
    <w:rsid w:val="6D351FB7"/>
    <w:rsid w:val="6D6B2EFF"/>
    <w:rsid w:val="6D7946AB"/>
    <w:rsid w:val="6D973D4D"/>
    <w:rsid w:val="6DB87489"/>
    <w:rsid w:val="6DB90D61"/>
    <w:rsid w:val="6DC53E25"/>
    <w:rsid w:val="6DD20F3C"/>
    <w:rsid w:val="6DDA0547"/>
    <w:rsid w:val="6DDC3A4A"/>
    <w:rsid w:val="6DF116F4"/>
    <w:rsid w:val="6E075F35"/>
    <w:rsid w:val="6E4843FE"/>
    <w:rsid w:val="6E645FE1"/>
    <w:rsid w:val="6E6877DF"/>
    <w:rsid w:val="6E6C58B8"/>
    <w:rsid w:val="6E8008D1"/>
    <w:rsid w:val="6E880E8E"/>
    <w:rsid w:val="6E950C7A"/>
    <w:rsid w:val="6E9706E6"/>
    <w:rsid w:val="6E9E3B08"/>
    <w:rsid w:val="6EA25D92"/>
    <w:rsid w:val="6EBB0EBA"/>
    <w:rsid w:val="6ECB6973"/>
    <w:rsid w:val="6ECE6856"/>
    <w:rsid w:val="6ED45773"/>
    <w:rsid w:val="6EFF6699"/>
    <w:rsid w:val="6F0425B3"/>
    <w:rsid w:val="6F2D45E9"/>
    <w:rsid w:val="6F624B4B"/>
    <w:rsid w:val="6F6C63B6"/>
    <w:rsid w:val="6F755D6A"/>
    <w:rsid w:val="6FA61D8F"/>
    <w:rsid w:val="6FCE49DF"/>
    <w:rsid w:val="6FCF062D"/>
    <w:rsid w:val="6FD43B85"/>
    <w:rsid w:val="6FF05844"/>
    <w:rsid w:val="6FF23135"/>
    <w:rsid w:val="6FF46638"/>
    <w:rsid w:val="7019121A"/>
    <w:rsid w:val="704020FA"/>
    <w:rsid w:val="70481945"/>
    <w:rsid w:val="705067E1"/>
    <w:rsid w:val="70555E62"/>
    <w:rsid w:val="70643898"/>
    <w:rsid w:val="70785CF4"/>
    <w:rsid w:val="70A67761"/>
    <w:rsid w:val="70C71E93"/>
    <w:rsid w:val="70D127A3"/>
    <w:rsid w:val="71183764"/>
    <w:rsid w:val="716E31D8"/>
    <w:rsid w:val="71A21693"/>
    <w:rsid w:val="71E13C65"/>
    <w:rsid w:val="720B0FB4"/>
    <w:rsid w:val="721B433B"/>
    <w:rsid w:val="722630D5"/>
    <w:rsid w:val="72357E6C"/>
    <w:rsid w:val="724F0A16"/>
    <w:rsid w:val="72591409"/>
    <w:rsid w:val="726322DA"/>
    <w:rsid w:val="726C7FC6"/>
    <w:rsid w:val="727E1402"/>
    <w:rsid w:val="7299002B"/>
    <w:rsid w:val="72A33D23"/>
    <w:rsid w:val="72A74928"/>
    <w:rsid w:val="72B655CF"/>
    <w:rsid w:val="72E9207B"/>
    <w:rsid w:val="72F65D2C"/>
    <w:rsid w:val="72FC0B11"/>
    <w:rsid w:val="730E33D2"/>
    <w:rsid w:val="731213FB"/>
    <w:rsid w:val="73374526"/>
    <w:rsid w:val="735D69D5"/>
    <w:rsid w:val="7362509A"/>
    <w:rsid w:val="73F445CA"/>
    <w:rsid w:val="73F72992"/>
    <w:rsid w:val="741D6FF5"/>
    <w:rsid w:val="74211D4D"/>
    <w:rsid w:val="74270B96"/>
    <w:rsid w:val="74986285"/>
    <w:rsid w:val="749F4A62"/>
    <w:rsid w:val="74E82953"/>
    <w:rsid w:val="74ED25E3"/>
    <w:rsid w:val="75342879"/>
    <w:rsid w:val="75342D58"/>
    <w:rsid w:val="75485668"/>
    <w:rsid w:val="75586461"/>
    <w:rsid w:val="75680E21"/>
    <w:rsid w:val="7571063E"/>
    <w:rsid w:val="757F5F8E"/>
    <w:rsid w:val="75A751D8"/>
    <w:rsid w:val="75B13D8C"/>
    <w:rsid w:val="75B4336E"/>
    <w:rsid w:val="75BE5F9B"/>
    <w:rsid w:val="75C65B4A"/>
    <w:rsid w:val="75CA3040"/>
    <w:rsid w:val="75D21A46"/>
    <w:rsid w:val="75F64CB8"/>
    <w:rsid w:val="75FD499F"/>
    <w:rsid w:val="760C2A3B"/>
    <w:rsid w:val="765F11C0"/>
    <w:rsid w:val="76635F23"/>
    <w:rsid w:val="766B37C2"/>
    <w:rsid w:val="766C11C5"/>
    <w:rsid w:val="76831080"/>
    <w:rsid w:val="76954F1D"/>
    <w:rsid w:val="76A36431"/>
    <w:rsid w:val="76BB7648"/>
    <w:rsid w:val="76BF02E0"/>
    <w:rsid w:val="76E5278E"/>
    <w:rsid w:val="770025E3"/>
    <w:rsid w:val="770045CD"/>
    <w:rsid w:val="7701204E"/>
    <w:rsid w:val="77027AD0"/>
    <w:rsid w:val="77232203"/>
    <w:rsid w:val="775F3697"/>
    <w:rsid w:val="776A2977"/>
    <w:rsid w:val="77D34C9D"/>
    <w:rsid w:val="77D90A2D"/>
    <w:rsid w:val="77EC502A"/>
    <w:rsid w:val="77F74930"/>
    <w:rsid w:val="77FB2266"/>
    <w:rsid w:val="78031323"/>
    <w:rsid w:val="783746ED"/>
    <w:rsid w:val="785D3204"/>
    <w:rsid w:val="78646DCA"/>
    <w:rsid w:val="78696B96"/>
    <w:rsid w:val="787B6037"/>
    <w:rsid w:val="7893056F"/>
    <w:rsid w:val="78D87374"/>
    <w:rsid w:val="79026218"/>
    <w:rsid w:val="79940D02"/>
    <w:rsid w:val="79961300"/>
    <w:rsid w:val="79D143EB"/>
    <w:rsid w:val="79FF6045"/>
    <w:rsid w:val="7A0D0B9E"/>
    <w:rsid w:val="7A0E5017"/>
    <w:rsid w:val="7A193161"/>
    <w:rsid w:val="7A1B7CE2"/>
    <w:rsid w:val="7A204908"/>
    <w:rsid w:val="7A2F6982"/>
    <w:rsid w:val="7A32318A"/>
    <w:rsid w:val="7A344553"/>
    <w:rsid w:val="7A3F6C1D"/>
    <w:rsid w:val="7A7475EB"/>
    <w:rsid w:val="7A7A507A"/>
    <w:rsid w:val="7AC73A2A"/>
    <w:rsid w:val="7ACE4885"/>
    <w:rsid w:val="7AFB483F"/>
    <w:rsid w:val="7B01255E"/>
    <w:rsid w:val="7B0434E3"/>
    <w:rsid w:val="7B252618"/>
    <w:rsid w:val="7B3E5051"/>
    <w:rsid w:val="7B555B44"/>
    <w:rsid w:val="7B6312FE"/>
    <w:rsid w:val="7B756C9A"/>
    <w:rsid w:val="7B983519"/>
    <w:rsid w:val="7BC86AA4"/>
    <w:rsid w:val="7BED72A1"/>
    <w:rsid w:val="7BFB4974"/>
    <w:rsid w:val="7C0225B8"/>
    <w:rsid w:val="7C123E4B"/>
    <w:rsid w:val="7C1B2CAB"/>
    <w:rsid w:val="7C2413BC"/>
    <w:rsid w:val="7C256E3D"/>
    <w:rsid w:val="7C2E1CCB"/>
    <w:rsid w:val="7C31333F"/>
    <w:rsid w:val="7C3D6A98"/>
    <w:rsid w:val="7C4B7068"/>
    <w:rsid w:val="7C6921AC"/>
    <w:rsid w:val="7C6F7F88"/>
    <w:rsid w:val="7C773348"/>
    <w:rsid w:val="7C88585D"/>
    <w:rsid w:val="7C9A0FFB"/>
    <w:rsid w:val="7C9D7D81"/>
    <w:rsid w:val="7CA85B3E"/>
    <w:rsid w:val="7CD43E7B"/>
    <w:rsid w:val="7CF91C8A"/>
    <w:rsid w:val="7D3D7790"/>
    <w:rsid w:val="7D3D7EE1"/>
    <w:rsid w:val="7D5804B4"/>
    <w:rsid w:val="7D5D595D"/>
    <w:rsid w:val="7D745939"/>
    <w:rsid w:val="7D9210EB"/>
    <w:rsid w:val="7DB24457"/>
    <w:rsid w:val="7DD354D7"/>
    <w:rsid w:val="7E1B5633"/>
    <w:rsid w:val="7E54384F"/>
    <w:rsid w:val="7E617E0B"/>
    <w:rsid w:val="7E6305E6"/>
    <w:rsid w:val="7E6C55DC"/>
    <w:rsid w:val="7EAC3747"/>
    <w:rsid w:val="7EC6610C"/>
    <w:rsid w:val="7EF32E0B"/>
    <w:rsid w:val="7F023404"/>
    <w:rsid w:val="7F0F3F82"/>
    <w:rsid w:val="7F164AD7"/>
    <w:rsid w:val="7F617665"/>
    <w:rsid w:val="7F7C19E8"/>
    <w:rsid w:val="7F8B38CC"/>
    <w:rsid w:val="7F8C134D"/>
    <w:rsid w:val="7F8C5965"/>
    <w:rsid w:val="7F9C15E8"/>
    <w:rsid w:val="7FBD418D"/>
    <w:rsid w:val="7FCC748A"/>
    <w:rsid w:val="7FCE5462"/>
    <w:rsid w:val="7FD6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6">
    <w:name w:val="annotation text"/>
    <w:basedOn w:val="1"/>
    <w:qFormat/>
    <w:uiPriority w:val="0"/>
    <w:pPr>
      <w:jc w:val="left"/>
    </w:pPr>
  </w:style>
  <w:style w:type="paragraph" w:styleId="7">
    <w:name w:val="Body Text"/>
    <w:basedOn w:val="1"/>
    <w:next w:val="1"/>
    <w:qFormat/>
    <w:uiPriority w:val="1"/>
    <w:pPr>
      <w:ind w:left="115" w:firstLine="600"/>
    </w:pPr>
    <w:rPr>
      <w:rFonts w:ascii="方正仿宋_GBK" w:hAnsi="方正仿宋_GBK" w:eastAsia="方正仿宋_GBK" w:cs="方正仿宋_GBK"/>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Title"/>
    <w:basedOn w:val="1"/>
    <w:next w:val="1"/>
    <w:qFormat/>
    <w:uiPriority w:val="0"/>
    <w:pPr>
      <w:spacing w:before="240" w:after="60" w:line="360" w:lineRule="auto"/>
      <w:jc w:val="center"/>
      <w:outlineLvl w:val="0"/>
    </w:pPr>
    <w:rPr>
      <w:rFonts w:ascii="Cambria" w:hAnsi="Cambria" w:cs="Times New Roman"/>
      <w:b/>
      <w:bCs/>
      <w:sz w:val="32"/>
      <w:szCs w:val="32"/>
      <w:lang w:eastAsia="en-US" w:bidi="en-US"/>
    </w:rPr>
  </w:style>
  <w:style w:type="character" w:styleId="14">
    <w:name w:val="footnote reference"/>
    <w:basedOn w:val="13"/>
    <w:qFormat/>
    <w:uiPriority w:val="0"/>
    <w:rPr>
      <w:vertAlign w:val="superscript"/>
    </w:rPr>
  </w:style>
  <w:style w:type="character" w:customStyle="1" w:styleId="15">
    <w:name w:val="fontstyle01"/>
    <w:basedOn w:val="13"/>
    <w:qFormat/>
    <w:uiPriority w:val="0"/>
    <w:rPr>
      <w:rFonts w:ascii="黑体" w:hAnsi="宋体" w:eastAsia="黑体" w:cs="黑体"/>
      <w:color w:val="000000"/>
      <w:sz w:val="32"/>
      <w:szCs w:val="32"/>
    </w:rPr>
  </w:style>
  <w:style w:type="paragraph" w:customStyle="1" w:styleId="16">
    <w:name w:val="章"/>
    <w:basedOn w:val="1"/>
    <w:next w:val="17"/>
    <w:qFormat/>
    <w:uiPriority w:val="0"/>
    <w:pPr>
      <w:spacing w:beforeLines="50" w:afterLines="50" w:line="360" w:lineRule="auto"/>
      <w:jc w:val="center"/>
      <w:outlineLvl w:val="0"/>
    </w:pPr>
    <w:rPr>
      <w:rFonts w:eastAsia="黑体"/>
    </w:rPr>
  </w:style>
  <w:style w:type="paragraph" w:customStyle="1" w:styleId="17">
    <w:name w:val="条"/>
    <w:basedOn w:val="1"/>
    <w:qFormat/>
    <w:uiPriority w:val="0"/>
    <w:pPr>
      <w:numPr>
        <w:ilvl w:val="0"/>
        <w:numId w:val="1"/>
      </w:numPr>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image" Target="media/image4.wmf"/><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11885</Words>
  <Characters>11981</Characters>
  <Lines>0</Lines>
  <Paragraphs>0</Paragraphs>
  <TotalTime>16</TotalTime>
  <ScaleCrop>false</ScaleCrop>
  <LinksUpToDate>false</LinksUpToDate>
  <CharactersWithSpaces>12015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2021-04-22T09:00:00Z</dcterms:created>
  <dc:creator>yndw</dc:creator>
  <cp:lastModifiedBy>ZHC</cp:lastModifiedBy>
  <cp:lastPrinted>2024-10-23T09:24:00Z</cp:lastPrinted>
  <dcterms:modified xsi:type="dcterms:W3CDTF">2024-10-25T07:39:01Z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4B4E2515839242718E7162CF6F894229_13</vt:lpwstr>
  </property>
</Properties>
</file>